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AF03" w14:textId="77777777" w:rsidR="00C03FFB" w:rsidRDefault="00C03FFB" w:rsidP="00807C9C">
      <w:pPr>
        <w:spacing w:after="0"/>
        <w:jc w:val="center"/>
        <w:rPr>
          <w:rFonts w:ascii="Times New Roman" w:hAnsi="Times New Roman" w:cs="Times New Roman"/>
          <w:b/>
          <w:bCs/>
          <w:sz w:val="28"/>
          <w:szCs w:val="28"/>
        </w:rPr>
      </w:pPr>
      <w:r>
        <w:rPr>
          <w:rFonts w:ascii="Times New Roman" w:hAnsi="Times New Roman" w:cs="Times New Roman"/>
          <w:b/>
          <w:bCs/>
          <w:sz w:val="28"/>
          <w:szCs w:val="28"/>
        </w:rPr>
        <w:t>Citizen Science Epidemiological Research Study</w:t>
      </w:r>
    </w:p>
    <w:p w14:paraId="4E68E71F" w14:textId="77777777" w:rsidR="00C03FFB" w:rsidRDefault="00664D53" w:rsidP="00807C9C">
      <w:pPr>
        <w:spacing w:after="0"/>
        <w:jc w:val="center"/>
        <w:rPr>
          <w:rFonts w:ascii="Times New Roman" w:hAnsi="Times New Roman" w:cs="Times New Roman"/>
          <w:b/>
          <w:bCs/>
          <w:sz w:val="28"/>
          <w:szCs w:val="28"/>
        </w:rPr>
      </w:pPr>
      <w:r>
        <w:rPr>
          <w:rFonts w:ascii="Times New Roman" w:hAnsi="Times New Roman" w:cs="Times New Roman"/>
          <w:b/>
          <w:bCs/>
          <w:sz w:val="28"/>
          <w:szCs w:val="28"/>
        </w:rPr>
        <w:t>o</w:t>
      </w:r>
      <w:r w:rsidR="00C03FFB">
        <w:rPr>
          <w:rFonts w:ascii="Times New Roman" w:hAnsi="Times New Roman" w:cs="Times New Roman"/>
          <w:b/>
          <w:bCs/>
          <w:sz w:val="28"/>
          <w:szCs w:val="28"/>
        </w:rPr>
        <w:t>f</w:t>
      </w:r>
    </w:p>
    <w:p w14:paraId="297772B8" w14:textId="77777777" w:rsidR="00C03FFB" w:rsidRDefault="00C03FFB" w:rsidP="00807C9C">
      <w:pPr>
        <w:spacing w:after="0"/>
        <w:jc w:val="center"/>
        <w:rPr>
          <w:rFonts w:ascii="Times New Roman" w:hAnsi="Times New Roman" w:cs="Times New Roman"/>
          <w:b/>
          <w:bCs/>
          <w:sz w:val="28"/>
          <w:szCs w:val="28"/>
        </w:rPr>
      </w:pPr>
      <w:r>
        <w:rPr>
          <w:rFonts w:ascii="Times New Roman" w:hAnsi="Times New Roman" w:cs="Times New Roman"/>
          <w:b/>
          <w:bCs/>
          <w:sz w:val="28"/>
          <w:szCs w:val="28"/>
        </w:rPr>
        <w:t>Urinary Calculi in Wether</w:t>
      </w:r>
      <w:r w:rsidR="001549A8">
        <w:rPr>
          <w:rFonts w:ascii="Times New Roman" w:hAnsi="Times New Roman" w:cs="Times New Roman"/>
          <w:b/>
          <w:bCs/>
          <w:sz w:val="28"/>
          <w:szCs w:val="28"/>
        </w:rPr>
        <w:t>ed</w:t>
      </w:r>
      <w:r>
        <w:rPr>
          <w:rFonts w:ascii="Times New Roman" w:hAnsi="Times New Roman" w:cs="Times New Roman"/>
          <w:b/>
          <w:bCs/>
          <w:sz w:val="28"/>
          <w:szCs w:val="28"/>
        </w:rPr>
        <w:t xml:space="preserve"> Goats</w:t>
      </w:r>
    </w:p>
    <w:p w14:paraId="6678CA3E" w14:textId="77777777" w:rsidR="003263C0" w:rsidRPr="00807C9C" w:rsidRDefault="00C03FFB" w:rsidP="003263C0">
      <w:pPr>
        <w:spacing w:after="240"/>
        <w:jc w:val="center"/>
        <w:rPr>
          <w:rFonts w:ascii="Times New Roman" w:hAnsi="Times New Roman" w:cs="Times New Roman"/>
          <w:b/>
          <w:bCs/>
          <w:sz w:val="20"/>
          <w:szCs w:val="20"/>
        </w:rPr>
      </w:pPr>
      <w:r w:rsidRPr="00807C9C">
        <w:rPr>
          <w:rFonts w:ascii="Times New Roman" w:hAnsi="Times New Roman" w:cs="Times New Roman"/>
          <w:b/>
          <w:bCs/>
          <w:sz w:val="20"/>
          <w:szCs w:val="20"/>
        </w:rPr>
        <w:t>By</w:t>
      </w:r>
      <w:r w:rsidR="003263C0">
        <w:rPr>
          <w:rFonts w:ascii="Times New Roman" w:hAnsi="Times New Roman" w:cs="Times New Roman"/>
          <w:b/>
          <w:bCs/>
          <w:sz w:val="20"/>
          <w:szCs w:val="20"/>
        </w:rPr>
        <w:t xml:space="preserve"> </w:t>
      </w:r>
      <w:r w:rsidRPr="00807C9C">
        <w:rPr>
          <w:rFonts w:ascii="Times New Roman" w:hAnsi="Times New Roman" w:cs="Times New Roman"/>
          <w:b/>
          <w:bCs/>
          <w:sz w:val="20"/>
          <w:szCs w:val="20"/>
        </w:rPr>
        <w:t>The North American Packgoat Association</w:t>
      </w:r>
    </w:p>
    <w:p w14:paraId="42F39EB7" w14:textId="77777777" w:rsidR="00C03FFB" w:rsidRDefault="00C03FFB" w:rsidP="00C03FFB">
      <w:pPr>
        <w:jc w:val="center"/>
        <w:rPr>
          <w:rFonts w:ascii="Times New Roman" w:hAnsi="Times New Roman" w:cs="Times New Roman"/>
          <w:b/>
          <w:bCs/>
          <w:sz w:val="24"/>
          <w:szCs w:val="24"/>
        </w:rPr>
      </w:pPr>
      <w:r>
        <w:rPr>
          <w:rFonts w:ascii="Times New Roman" w:hAnsi="Times New Roman" w:cs="Times New Roman"/>
          <w:b/>
          <w:bCs/>
          <w:sz w:val="24"/>
          <w:szCs w:val="24"/>
        </w:rPr>
        <w:t>Introduction</w:t>
      </w:r>
    </w:p>
    <w:p w14:paraId="171CA56E" w14:textId="042E6C2E" w:rsidR="00E773C0" w:rsidRDefault="00C03FFB" w:rsidP="00E773C0">
      <w:pPr>
        <w:jc w:val="both"/>
        <w:rPr>
          <w:rFonts w:ascii="Times New Roman" w:hAnsi="Times New Roman" w:cs="Times New Roman"/>
          <w:sz w:val="24"/>
          <w:szCs w:val="24"/>
        </w:rPr>
      </w:pPr>
      <w:r>
        <w:rPr>
          <w:rFonts w:ascii="Times New Roman" w:hAnsi="Times New Roman" w:cs="Times New Roman"/>
          <w:bCs/>
          <w:sz w:val="24"/>
          <w:szCs w:val="24"/>
        </w:rPr>
        <w:tab/>
        <w:t>The North American Packgoat Association (“NAPgA”)</w:t>
      </w:r>
      <w:r w:rsidR="00B71DB5">
        <w:rPr>
          <w:rFonts w:ascii="Times New Roman" w:hAnsi="Times New Roman" w:cs="Times New Roman"/>
          <w:bCs/>
          <w:sz w:val="24"/>
          <w:szCs w:val="24"/>
        </w:rPr>
        <w:t xml:space="preserve">, a 501(c)(3) nonprofit corporation, </w:t>
      </w:r>
      <w:r>
        <w:rPr>
          <w:rFonts w:ascii="Times New Roman" w:hAnsi="Times New Roman" w:cs="Times New Roman"/>
          <w:sz w:val="24"/>
          <w:szCs w:val="24"/>
        </w:rPr>
        <w:t xml:space="preserve">has formed a Urinary Calculi Research Committee </w:t>
      </w:r>
      <w:r w:rsidR="001549A8">
        <w:rPr>
          <w:rFonts w:ascii="Times New Roman" w:hAnsi="Times New Roman" w:cs="Times New Roman"/>
          <w:sz w:val="24"/>
          <w:szCs w:val="24"/>
        </w:rPr>
        <w:t>(the “Committee”)</w:t>
      </w:r>
      <w:r w:rsidR="00360714">
        <w:rPr>
          <w:rFonts w:ascii="Times New Roman" w:hAnsi="Times New Roman" w:cs="Times New Roman"/>
          <w:sz w:val="24"/>
          <w:szCs w:val="24"/>
        </w:rPr>
        <w:t>,</w:t>
      </w:r>
      <w:r w:rsidR="001549A8">
        <w:rPr>
          <w:rFonts w:ascii="Times New Roman" w:hAnsi="Times New Roman" w:cs="Times New Roman"/>
          <w:sz w:val="24"/>
          <w:szCs w:val="24"/>
        </w:rPr>
        <w:t xml:space="preserve"> </w:t>
      </w:r>
      <w:r>
        <w:rPr>
          <w:rFonts w:ascii="Times New Roman" w:hAnsi="Times New Roman" w:cs="Times New Roman"/>
          <w:sz w:val="24"/>
          <w:szCs w:val="24"/>
        </w:rPr>
        <w:t xml:space="preserve">consisting of </w:t>
      </w:r>
      <w:r w:rsidR="00054DF2">
        <w:rPr>
          <w:rFonts w:ascii="Times New Roman" w:hAnsi="Times New Roman" w:cs="Times New Roman"/>
          <w:sz w:val="24"/>
          <w:szCs w:val="24"/>
        </w:rPr>
        <w:t>two</w:t>
      </w:r>
      <w:r w:rsidR="00CC6C93">
        <w:rPr>
          <w:rFonts w:ascii="Times New Roman" w:hAnsi="Times New Roman" w:cs="Times New Roman"/>
          <w:sz w:val="24"/>
          <w:szCs w:val="24"/>
        </w:rPr>
        <w:t xml:space="preserve"> (</w:t>
      </w:r>
      <w:r w:rsidR="00054DF2">
        <w:rPr>
          <w:rFonts w:ascii="Times New Roman" w:hAnsi="Times New Roman" w:cs="Times New Roman"/>
          <w:sz w:val="24"/>
          <w:szCs w:val="24"/>
        </w:rPr>
        <w:t>2</w:t>
      </w:r>
      <w:r w:rsidR="00CC6C93">
        <w:rPr>
          <w:rFonts w:ascii="Times New Roman" w:hAnsi="Times New Roman" w:cs="Times New Roman"/>
          <w:sz w:val="24"/>
          <w:szCs w:val="24"/>
        </w:rPr>
        <w:t xml:space="preserve">) </w:t>
      </w:r>
      <w:r>
        <w:rPr>
          <w:rFonts w:ascii="Times New Roman" w:hAnsi="Times New Roman" w:cs="Times New Roman"/>
          <w:sz w:val="24"/>
          <w:szCs w:val="24"/>
        </w:rPr>
        <w:t xml:space="preserve">general members and </w:t>
      </w:r>
      <w:r w:rsidR="00054DF2">
        <w:rPr>
          <w:rFonts w:ascii="Times New Roman" w:hAnsi="Times New Roman" w:cs="Times New Roman"/>
          <w:sz w:val="24"/>
          <w:szCs w:val="24"/>
        </w:rPr>
        <w:t>three</w:t>
      </w:r>
      <w:r w:rsidR="00CC6C93">
        <w:rPr>
          <w:rFonts w:ascii="Times New Roman" w:hAnsi="Times New Roman" w:cs="Times New Roman"/>
          <w:sz w:val="24"/>
          <w:szCs w:val="24"/>
        </w:rPr>
        <w:t xml:space="preserve"> (</w:t>
      </w:r>
      <w:r w:rsidR="00054DF2">
        <w:rPr>
          <w:rFonts w:ascii="Times New Roman" w:hAnsi="Times New Roman" w:cs="Times New Roman"/>
          <w:sz w:val="24"/>
          <w:szCs w:val="24"/>
        </w:rPr>
        <w:t>3</w:t>
      </w:r>
      <w:r w:rsidR="00CC6C93">
        <w:rPr>
          <w:rFonts w:ascii="Times New Roman" w:hAnsi="Times New Roman" w:cs="Times New Roman"/>
          <w:sz w:val="24"/>
          <w:szCs w:val="24"/>
        </w:rPr>
        <w:t xml:space="preserve">) </w:t>
      </w:r>
      <w:r>
        <w:rPr>
          <w:rFonts w:ascii="Times New Roman" w:hAnsi="Times New Roman" w:cs="Times New Roman"/>
          <w:sz w:val="24"/>
          <w:szCs w:val="24"/>
        </w:rPr>
        <w:t>Board Members of NAPgA</w:t>
      </w:r>
      <w:r w:rsidR="0098317E">
        <w:rPr>
          <w:rFonts w:ascii="Times New Roman" w:hAnsi="Times New Roman" w:cs="Times New Roman"/>
          <w:sz w:val="24"/>
          <w:szCs w:val="24"/>
        </w:rPr>
        <w:t xml:space="preserve">.  The purpose of the Committee is </w:t>
      </w:r>
      <w:r>
        <w:rPr>
          <w:rFonts w:ascii="Times New Roman" w:hAnsi="Times New Roman" w:cs="Times New Roman"/>
          <w:sz w:val="24"/>
          <w:szCs w:val="24"/>
        </w:rPr>
        <w:t xml:space="preserve">to engage a highly qualified </w:t>
      </w:r>
      <w:r w:rsidR="00307A51">
        <w:rPr>
          <w:rFonts w:ascii="Times New Roman" w:hAnsi="Times New Roman" w:cs="Times New Roman"/>
          <w:sz w:val="24"/>
          <w:szCs w:val="24"/>
        </w:rPr>
        <w:t xml:space="preserve">epidemiologist(s), </w:t>
      </w:r>
      <w:r>
        <w:rPr>
          <w:rFonts w:ascii="Times New Roman" w:hAnsi="Times New Roman" w:cs="Times New Roman"/>
          <w:sz w:val="24"/>
          <w:szCs w:val="24"/>
        </w:rPr>
        <w:t>researcher</w:t>
      </w:r>
      <w:r w:rsidR="00307A51">
        <w:rPr>
          <w:rFonts w:ascii="Times New Roman" w:hAnsi="Times New Roman" w:cs="Times New Roman"/>
          <w:sz w:val="24"/>
          <w:szCs w:val="24"/>
        </w:rPr>
        <w:t>(</w:t>
      </w:r>
      <w:r>
        <w:rPr>
          <w:rFonts w:ascii="Times New Roman" w:hAnsi="Times New Roman" w:cs="Times New Roman"/>
          <w:sz w:val="24"/>
          <w:szCs w:val="24"/>
        </w:rPr>
        <w:t>s</w:t>
      </w:r>
      <w:r w:rsidR="00307A51">
        <w:rPr>
          <w:rFonts w:ascii="Times New Roman" w:hAnsi="Times New Roman" w:cs="Times New Roman"/>
          <w:sz w:val="24"/>
          <w:szCs w:val="24"/>
        </w:rPr>
        <w:t>)</w:t>
      </w:r>
      <w:r w:rsidR="00CC6C93">
        <w:rPr>
          <w:rFonts w:ascii="Times New Roman" w:hAnsi="Times New Roman" w:cs="Times New Roman"/>
          <w:sz w:val="24"/>
          <w:szCs w:val="24"/>
        </w:rPr>
        <w:t xml:space="preserve">, laboratories, </w:t>
      </w:r>
      <w:r w:rsidR="0098317E">
        <w:rPr>
          <w:rFonts w:ascii="Times New Roman" w:hAnsi="Times New Roman" w:cs="Times New Roman"/>
          <w:sz w:val="24"/>
          <w:szCs w:val="24"/>
        </w:rPr>
        <w:t xml:space="preserve">other </w:t>
      </w:r>
      <w:r w:rsidR="00C261B2">
        <w:rPr>
          <w:rFonts w:ascii="Times New Roman" w:hAnsi="Times New Roman" w:cs="Times New Roman"/>
          <w:sz w:val="24"/>
          <w:szCs w:val="24"/>
        </w:rPr>
        <w:t>professionals,</w:t>
      </w:r>
      <w:r w:rsidR="0098317E">
        <w:rPr>
          <w:rFonts w:ascii="Times New Roman" w:hAnsi="Times New Roman" w:cs="Times New Roman"/>
          <w:sz w:val="24"/>
          <w:szCs w:val="24"/>
        </w:rPr>
        <w:t xml:space="preserve"> and necessary parties as well as </w:t>
      </w:r>
      <w:r w:rsidR="00CC6C93">
        <w:rPr>
          <w:rFonts w:ascii="Times New Roman" w:hAnsi="Times New Roman" w:cs="Times New Roman"/>
          <w:sz w:val="24"/>
          <w:szCs w:val="24"/>
        </w:rPr>
        <w:t>goat owners from</w:t>
      </w:r>
      <w:r w:rsidR="0098317E">
        <w:rPr>
          <w:rFonts w:ascii="Times New Roman" w:hAnsi="Times New Roman" w:cs="Times New Roman"/>
          <w:sz w:val="24"/>
          <w:szCs w:val="24"/>
        </w:rPr>
        <w:t xml:space="preserve"> among</w:t>
      </w:r>
      <w:r w:rsidR="00CC6C93">
        <w:rPr>
          <w:rFonts w:ascii="Times New Roman" w:hAnsi="Times New Roman" w:cs="Times New Roman"/>
          <w:sz w:val="24"/>
          <w:szCs w:val="24"/>
        </w:rPr>
        <w:t xml:space="preserve"> NAPgA’s members</w:t>
      </w:r>
      <w:r>
        <w:rPr>
          <w:rFonts w:ascii="Times New Roman" w:hAnsi="Times New Roman" w:cs="Times New Roman"/>
          <w:sz w:val="24"/>
          <w:szCs w:val="24"/>
        </w:rPr>
        <w:t xml:space="preserve"> </w:t>
      </w:r>
      <w:r w:rsidR="00C261B2">
        <w:rPr>
          <w:rFonts w:ascii="Times New Roman" w:hAnsi="Times New Roman" w:cs="Times New Roman"/>
          <w:sz w:val="24"/>
          <w:szCs w:val="24"/>
        </w:rPr>
        <w:t>to</w:t>
      </w:r>
      <w:r>
        <w:rPr>
          <w:rFonts w:ascii="Times New Roman" w:hAnsi="Times New Roman" w:cs="Times New Roman"/>
          <w:sz w:val="24"/>
          <w:szCs w:val="24"/>
        </w:rPr>
        <w:t xml:space="preserve"> organize and conduct a Citizen Science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Epidemiological Research Study of Urinary Calculi in Wethered Goats.  </w:t>
      </w:r>
      <w:r w:rsidR="00307A51">
        <w:rPr>
          <w:rFonts w:ascii="Times New Roman" w:hAnsi="Times New Roman" w:cs="Times New Roman"/>
          <w:sz w:val="24"/>
          <w:szCs w:val="24"/>
        </w:rPr>
        <w:t>The study will be a scientifically sound</w:t>
      </w:r>
      <w:r w:rsidR="0087445D">
        <w:rPr>
          <w:rFonts w:ascii="Times New Roman" w:hAnsi="Times New Roman" w:cs="Times New Roman"/>
          <w:sz w:val="24"/>
          <w:szCs w:val="24"/>
        </w:rPr>
        <w:t xml:space="preserve"> research project resulting in a written report intended for publication and </w:t>
      </w:r>
      <w:r w:rsidR="00307A51">
        <w:rPr>
          <w:rFonts w:ascii="Times New Roman" w:hAnsi="Times New Roman" w:cs="Times New Roman"/>
          <w:sz w:val="24"/>
          <w:szCs w:val="24"/>
        </w:rPr>
        <w:t>peer review.</w:t>
      </w:r>
    </w:p>
    <w:p w14:paraId="4103235C" w14:textId="77777777" w:rsidR="00D67B1B" w:rsidRPr="00D67B1B" w:rsidRDefault="00D67B1B" w:rsidP="000E7A3D">
      <w:pPr>
        <w:pStyle w:val="PlainText"/>
        <w:spacing w:after="1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Objective</w:t>
      </w:r>
    </w:p>
    <w:p w14:paraId="30705551" w14:textId="77777777" w:rsidR="00D67B1B" w:rsidRPr="00CA26A1" w:rsidRDefault="00D67B1B" w:rsidP="00D67B1B">
      <w:pPr>
        <w:pStyle w:val="PlainText"/>
        <w:spacing w:after="200"/>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To identify possible </w:t>
      </w:r>
      <w:r w:rsidRPr="00CA26A1">
        <w:rPr>
          <w:rFonts w:ascii="Times New Roman" w:hAnsi="Times New Roman" w:cs="Times New Roman"/>
          <w:color w:val="000000"/>
          <w:sz w:val="24"/>
          <w:szCs w:val="24"/>
        </w:rPr>
        <w:t>effects of diet, water, minerals, body condition</w:t>
      </w:r>
      <w:r>
        <w:rPr>
          <w:rFonts w:ascii="Times New Roman" w:hAnsi="Times New Roman" w:cs="Times New Roman"/>
          <w:color w:val="000000"/>
          <w:sz w:val="24"/>
          <w:szCs w:val="24"/>
        </w:rPr>
        <w:t xml:space="preserve">, age and method of castration, animal husbandry, geographic </w:t>
      </w:r>
      <w:r w:rsidRPr="00CA26A1">
        <w:rPr>
          <w:rFonts w:ascii="Times New Roman" w:hAnsi="Times New Roman" w:cs="Times New Roman"/>
          <w:color w:val="000000"/>
          <w:sz w:val="24"/>
          <w:szCs w:val="24"/>
        </w:rPr>
        <w:t xml:space="preserve">and environmental factors </w:t>
      </w:r>
      <w:r>
        <w:rPr>
          <w:rFonts w:ascii="Times New Roman" w:hAnsi="Times New Roman" w:cs="Times New Roman"/>
          <w:color w:val="000000"/>
          <w:sz w:val="24"/>
          <w:szCs w:val="24"/>
        </w:rPr>
        <w:t xml:space="preserve">associated with </w:t>
      </w:r>
      <w:r w:rsidRPr="00CA26A1">
        <w:rPr>
          <w:rFonts w:ascii="Times New Roman" w:hAnsi="Times New Roman" w:cs="Times New Roman"/>
          <w:color w:val="000000"/>
          <w:sz w:val="24"/>
          <w:szCs w:val="24"/>
        </w:rPr>
        <w:t>the development of urinary calculi in wether</w:t>
      </w:r>
      <w:r w:rsidR="00E9267D">
        <w:rPr>
          <w:rFonts w:ascii="Times New Roman" w:hAnsi="Times New Roman" w:cs="Times New Roman"/>
          <w:color w:val="000000"/>
          <w:sz w:val="24"/>
          <w:szCs w:val="24"/>
        </w:rPr>
        <w:t>ed</w:t>
      </w:r>
      <w:r w:rsidRPr="00CA26A1">
        <w:rPr>
          <w:rFonts w:ascii="Times New Roman" w:hAnsi="Times New Roman" w:cs="Times New Roman"/>
          <w:color w:val="000000"/>
          <w:sz w:val="24"/>
          <w:szCs w:val="24"/>
        </w:rPr>
        <w:t xml:space="preserve"> goats </w:t>
      </w:r>
      <w:r>
        <w:rPr>
          <w:rFonts w:ascii="Times New Roman" w:hAnsi="Times New Roman" w:cs="Times New Roman"/>
          <w:color w:val="000000"/>
          <w:sz w:val="24"/>
          <w:szCs w:val="24"/>
        </w:rPr>
        <w:t xml:space="preserve">used as pack animals </w:t>
      </w:r>
      <w:r w:rsidRPr="00CA26A1">
        <w:rPr>
          <w:rFonts w:ascii="Times New Roman" w:hAnsi="Times New Roman" w:cs="Times New Roman"/>
          <w:color w:val="000000"/>
          <w:sz w:val="24"/>
          <w:szCs w:val="24"/>
        </w:rPr>
        <w:t>and related optimal standards for the prevention thereof.</w:t>
      </w:r>
    </w:p>
    <w:p w14:paraId="6085D68C" w14:textId="77777777" w:rsidR="00E773C0" w:rsidRDefault="008E2616" w:rsidP="000E7A3D">
      <w:pPr>
        <w:spacing w:after="120"/>
        <w:jc w:val="center"/>
        <w:rPr>
          <w:rFonts w:ascii="Times New Roman" w:hAnsi="Times New Roman" w:cs="Times New Roman"/>
          <w:b/>
          <w:bCs/>
          <w:sz w:val="24"/>
          <w:szCs w:val="24"/>
        </w:rPr>
      </w:pPr>
      <w:r>
        <w:rPr>
          <w:rFonts w:ascii="Times New Roman" w:hAnsi="Times New Roman" w:cs="Times New Roman"/>
          <w:b/>
          <w:bCs/>
          <w:sz w:val="24"/>
          <w:szCs w:val="24"/>
        </w:rPr>
        <w:t xml:space="preserve">Current and Future </w:t>
      </w:r>
      <w:r w:rsidR="00E773C0">
        <w:rPr>
          <w:rFonts w:ascii="Times New Roman" w:hAnsi="Times New Roman" w:cs="Times New Roman"/>
          <w:b/>
          <w:bCs/>
          <w:sz w:val="24"/>
          <w:szCs w:val="24"/>
        </w:rPr>
        <w:t>Significance</w:t>
      </w:r>
      <w:r>
        <w:rPr>
          <w:rFonts w:ascii="Times New Roman" w:hAnsi="Times New Roman" w:cs="Times New Roman"/>
          <w:b/>
          <w:bCs/>
          <w:sz w:val="24"/>
          <w:szCs w:val="24"/>
        </w:rPr>
        <w:t>/</w:t>
      </w:r>
      <w:r w:rsidR="00E773C0">
        <w:rPr>
          <w:rFonts w:ascii="Times New Roman" w:hAnsi="Times New Roman" w:cs="Times New Roman"/>
          <w:b/>
          <w:bCs/>
          <w:sz w:val="24"/>
          <w:szCs w:val="24"/>
        </w:rPr>
        <w:t>Impact of the Study</w:t>
      </w:r>
    </w:p>
    <w:p w14:paraId="098495B3" w14:textId="19EA73A8" w:rsidR="008E2616" w:rsidRDefault="00E773C0" w:rsidP="008E2616">
      <w:pPr>
        <w:jc w:val="both"/>
        <w:rPr>
          <w:rFonts w:ascii="Times New Roman" w:hAnsi="Times New Roman" w:cs="Times New Roman"/>
          <w:sz w:val="24"/>
          <w:szCs w:val="24"/>
        </w:rPr>
      </w:pPr>
      <w:r>
        <w:rPr>
          <w:rFonts w:ascii="Times New Roman" w:hAnsi="Times New Roman" w:cs="Times New Roman"/>
          <w:sz w:val="24"/>
          <w:szCs w:val="24"/>
        </w:rPr>
        <w:tab/>
      </w:r>
      <w:r w:rsidR="0092741E">
        <w:rPr>
          <w:rFonts w:ascii="Times New Roman" w:hAnsi="Times New Roman" w:cs="Times New Roman"/>
          <w:sz w:val="24"/>
          <w:szCs w:val="24"/>
        </w:rPr>
        <w:t xml:space="preserve">Urinary Calculi </w:t>
      </w:r>
      <w:r w:rsidR="00E9267D">
        <w:rPr>
          <w:rFonts w:ascii="Times New Roman" w:hAnsi="Times New Roman" w:cs="Times New Roman"/>
          <w:sz w:val="24"/>
          <w:szCs w:val="24"/>
        </w:rPr>
        <w:t xml:space="preserve">affects male goats, particularly wethered goats, at an alarming rate in nearly all user groups </w:t>
      </w:r>
      <w:r w:rsidR="00B515B0">
        <w:rPr>
          <w:rFonts w:ascii="Times New Roman" w:hAnsi="Times New Roman" w:cs="Times New Roman"/>
          <w:sz w:val="24"/>
          <w:szCs w:val="24"/>
        </w:rPr>
        <w:t>such as</w:t>
      </w:r>
      <w:r w:rsidR="00E9267D">
        <w:rPr>
          <w:rFonts w:ascii="Times New Roman" w:hAnsi="Times New Roman" w:cs="Times New Roman"/>
          <w:sz w:val="24"/>
          <w:szCs w:val="24"/>
        </w:rPr>
        <w:t xml:space="preserve"> dairy, </w:t>
      </w:r>
      <w:r w:rsidR="00C072E0" w:rsidRPr="00054DF2">
        <w:rPr>
          <w:rFonts w:ascii="Times New Roman" w:hAnsi="Times New Roman" w:cs="Times New Roman"/>
          <w:sz w:val="24"/>
          <w:szCs w:val="24"/>
        </w:rPr>
        <w:t xml:space="preserve">fiber, </w:t>
      </w:r>
      <w:r w:rsidR="00E9267D" w:rsidRPr="00054DF2">
        <w:rPr>
          <w:rFonts w:ascii="Times New Roman" w:hAnsi="Times New Roman" w:cs="Times New Roman"/>
          <w:sz w:val="24"/>
          <w:szCs w:val="24"/>
        </w:rPr>
        <w:t xml:space="preserve">meat, show, 4-H, </w:t>
      </w:r>
      <w:r w:rsidR="00B515B0" w:rsidRPr="00054DF2">
        <w:rPr>
          <w:rFonts w:ascii="Times New Roman" w:hAnsi="Times New Roman" w:cs="Times New Roman"/>
          <w:sz w:val="24"/>
          <w:szCs w:val="24"/>
        </w:rPr>
        <w:t xml:space="preserve">special purpose (brush control and </w:t>
      </w:r>
      <w:r w:rsidR="00166CBD" w:rsidRPr="00054DF2">
        <w:rPr>
          <w:rFonts w:ascii="Times New Roman" w:hAnsi="Times New Roman" w:cs="Times New Roman"/>
          <w:sz w:val="24"/>
          <w:szCs w:val="24"/>
        </w:rPr>
        <w:t>packgoat</w:t>
      </w:r>
      <w:r w:rsidR="00E9267D" w:rsidRPr="00054DF2">
        <w:rPr>
          <w:rFonts w:ascii="Times New Roman" w:hAnsi="Times New Roman" w:cs="Times New Roman"/>
          <w:sz w:val="24"/>
          <w:szCs w:val="24"/>
        </w:rPr>
        <w:t>s</w:t>
      </w:r>
      <w:r w:rsidR="00B515B0" w:rsidRPr="00054DF2">
        <w:rPr>
          <w:rFonts w:ascii="Times New Roman" w:hAnsi="Times New Roman" w:cs="Times New Roman"/>
          <w:sz w:val="24"/>
          <w:szCs w:val="24"/>
        </w:rPr>
        <w:t>)</w:t>
      </w:r>
      <w:r w:rsidR="00E9267D" w:rsidRPr="00054DF2">
        <w:rPr>
          <w:rFonts w:ascii="Times New Roman" w:hAnsi="Times New Roman" w:cs="Times New Roman"/>
          <w:sz w:val="24"/>
          <w:szCs w:val="24"/>
        </w:rPr>
        <w:t xml:space="preserve">, </w:t>
      </w:r>
      <w:r w:rsidR="00B515B0" w:rsidRPr="00054DF2">
        <w:rPr>
          <w:rFonts w:ascii="Times New Roman" w:hAnsi="Times New Roman" w:cs="Times New Roman"/>
          <w:sz w:val="24"/>
          <w:szCs w:val="24"/>
        </w:rPr>
        <w:t xml:space="preserve">and </w:t>
      </w:r>
      <w:r w:rsidR="00E9267D" w:rsidRPr="00054DF2">
        <w:rPr>
          <w:rFonts w:ascii="Times New Roman" w:hAnsi="Times New Roman" w:cs="Times New Roman"/>
          <w:sz w:val="24"/>
          <w:szCs w:val="24"/>
        </w:rPr>
        <w:t xml:space="preserve">pets and </w:t>
      </w:r>
      <w:r w:rsidR="00B515B0" w:rsidRPr="00054DF2">
        <w:rPr>
          <w:rFonts w:ascii="Times New Roman" w:hAnsi="Times New Roman" w:cs="Times New Roman"/>
          <w:sz w:val="24"/>
          <w:szCs w:val="24"/>
        </w:rPr>
        <w:t xml:space="preserve">across </w:t>
      </w:r>
      <w:r w:rsidR="00E9267D" w:rsidRPr="00054DF2">
        <w:rPr>
          <w:rFonts w:ascii="Times New Roman" w:hAnsi="Times New Roman" w:cs="Times New Roman"/>
          <w:sz w:val="24"/>
          <w:szCs w:val="24"/>
        </w:rPr>
        <w:t xml:space="preserve">all breeds including Nigerian Dwarf, Pygmy, Alpine, Oberhasli, </w:t>
      </w:r>
      <w:proofErr w:type="spellStart"/>
      <w:r w:rsidR="00E9267D" w:rsidRPr="00054DF2">
        <w:rPr>
          <w:rFonts w:ascii="Times New Roman" w:hAnsi="Times New Roman" w:cs="Times New Roman"/>
          <w:sz w:val="24"/>
          <w:szCs w:val="24"/>
        </w:rPr>
        <w:t>La</w:t>
      </w:r>
      <w:r w:rsidR="004C0ECF" w:rsidRPr="00054DF2">
        <w:rPr>
          <w:rFonts w:ascii="Times New Roman" w:hAnsi="Times New Roman" w:cs="Times New Roman"/>
          <w:sz w:val="24"/>
          <w:szCs w:val="24"/>
        </w:rPr>
        <w:t>M</w:t>
      </w:r>
      <w:r w:rsidR="00E9267D" w:rsidRPr="00054DF2">
        <w:rPr>
          <w:rFonts w:ascii="Times New Roman" w:hAnsi="Times New Roman" w:cs="Times New Roman"/>
          <w:sz w:val="24"/>
          <w:szCs w:val="24"/>
        </w:rPr>
        <w:t>ancha</w:t>
      </w:r>
      <w:proofErr w:type="spellEnd"/>
      <w:r w:rsidR="00E9267D" w:rsidRPr="00054DF2">
        <w:rPr>
          <w:rFonts w:ascii="Times New Roman" w:hAnsi="Times New Roman" w:cs="Times New Roman"/>
          <w:sz w:val="24"/>
          <w:szCs w:val="24"/>
        </w:rPr>
        <w:t xml:space="preserve">, Saanan, Sable, Toggenburg, Kiko, Nubian, Boers, Angora, Cashmere, and others. </w:t>
      </w:r>
      <w:r w:rsidR="004327F0" w:rsidRPr="00054DF2">
        <w:rPr>
          <w:rFonts w:ascii="Times New Roman" w:hAnsi="Times New Roman" w:cs="Times New Roman"/>
          <w:sz w:val="24"/>
          <w:szCs w:val="24"/>
        </w:rPr>
        <w:t xml:space="preserve"> </w:t>
      </w:r>
      <w:r w:rsidR="00D93738" w:rsidRPr="00054DF2">
        <w:rPr>
          <w:rFonts w:ascii="Times New Roman" w:hAnsi="Times New Roman" w:cs="Times New Roman"/>
          <w:sz w:val="24"/>
          <w:szCs w:val="24"/>
        </w:rPr>
        <w:t>One of the primary goals of the Committee is that this</w:t>
      </w:r>
      <w:r w:rsidR="008E2616" w:rsidRPr="00054DF2">
        <w:rPr>
          <w:rFonts w:ascii="Times New Roman" w:hAnsi="Times New Roman" w:cs="Times New Roman"/>
          <w:sz w:val="24"/>
          <w:szCs w:val="24"/>
        </w:rPr>
        <w:t xml:space="preserve"> study, when completed, will </w:t>
      </w:r>
      <w:r w:rsidR="00D93738" w:rsidRPr="00054DF2">
        <w:rPr>
          <w:rFonts w:ascii="Times New Roman" w:hAnsi="Times New Roman" w:cs="Times New Roman"/>
          <w:sz w:val="24"/>
          <w:szCs w:val="24"/>
        </w:rPr>
        <w:t>serve as</w:t>
      </w:r>
      <w:r w:rsidR="008E2616" w:rsidRPr="00054DF2">
        <w:rPr>
          <w:rFonts w:ascii="Times New Roman" w:hAnsi="Times New Roman" w:cs="Times New Roman"/>
          <w:sz w:val="24"/>
          <w:szCs w:val="24"/>
        </w:rPr>
        <w:t xml:space="preserve"> a platform for further</w:t>
      </w:r>
      <w:r w:rsidR="0092741E" w:rsidRPr="00054DF2">
        <w:rPr>
          <w:rFonts w:ascii="Times New Roman" w:hAnsi="Times New Roman" w:cs="Times New Roman"/>
          <w:sz w:val="24"/>
          <w:szCs w:val="24"/>
        </w:rPr>
        <w:t xml:space="preserve"> studies </w:t>
      </w:r>
      <w:r w:rsidR="00D93738" w:rsidRPr="00054DF2">
        <w:rPr>
          <w:rFonts w:ascii="Times New Roman" w:hAnsi="Times New Roman" w:cs="Times New Roman"/>
          <w:sz w:val="24"/>
          <w:szCs w:val="24"/>
        </w:rPr>
        <w:t>related to</w:t>
      </w:r>
      <w:r w:rsidR="0092741E" w:rsidRPr="00054DF2">
        <w:rPr>
          <w:rFonts w:ascii="Times New Roman" w:hAnsi="Times New Roman" w:cs="Times New Roman"/>
          <w:sz w:val="24"/>
          <w:szCs w:val="24"/>
        </w:rPr>
        <w:t xml:space="preserve"> this deadly disease.  For example, Committee member, </w:t>
      </w:r>
      <w:r w:rsidR="00054DF2" w:rsidRPr="00054DF2">
        <w:rPr>
          <w:rFonts w:ascii="Times New Roman" w:hAnsi="Times New Roman" w:cs="Times New Roman"/>
          <w:sz w:val="24"/>
          <w:szCs w:val="24"/>
        </w:rPr>
        <w:t>Margaret (Maggie) Highland, DVM, PhD, DACVP, is the Pathology Section Head at the Wisconsin State Veterinary Diagnostic Laboratory</w:t>
      </w:r>
      <w:r w:rsidR="0092741E" w:rsidRPr="00054DF2">
        <w:rPr>
          <w:rFonts w:ascii="Times New Roman" w:hAnsi="Times New Roman" w:cs="Times New Roman"/>
          <w:sz w:val="24"/>
          <w:szCs w:val="24"/>
        </w:rPr>
        <w:t xml:space="preserve">, has offered to use the data obtained from surveys and urinary tracts recovered from wethered goats that die during this study to research the effects </w:t>
      </w:r>
      <w:r w:rsidR="00D93738" w:rsidRPr="00054DF2">
        <w:rPr>
          <w:rFonts w:ascii="Times New Roman" w:hAnsi="Times New Roman" w:cs="Times New Roman"/>
          <w:sz w:val="24"/>
          <w:szCs w:val="24"/>
        </w:rPr>
        <w:t>of the</w:t>
      </w:r>
      <w:r w:rsidR="0092741E" w:rsidRPr="00054DF2">
        <w:rPr>
          <w:rFonts w:ascii="Times New Roman" w:hAnsi="Times New Roman" w:cs="Times New Roman"/>
          <w:sz w:val="24"/>
          <w:szCs w:val="24"/>
        </w:rPr>
        <w:t xml:space="preserve"> age and method of castration on urethral</w:t>
      </w:r>
      <w:r w:rsidR="0092741E">
        <w:rPr>
          <w:rFonts w:ascii="Times New Roman" w:hAnsi="Times New Roman" w:cs="Times New Roman"/>
          <w:sz w:val="24"/>
          <w:szCs w:val="24"/>
        </w:rPr>
        <w:t xml:space="preserve"> diameter in wethered goats.</w:t>
      </w:r>
    </w:p>
    <w:p w14:paraId="3E6FA987" w14:textId="77777777" w:rsidR="0098317E" w:rsidRDefault="0098317E" w:rsidP="000E7A3D">
      <w:pPr>
        <w:keepNext/>
        <w:keepLines/>
        <w:spacing w:after="120"/>
        <w:jc w:val="center"/>
        <w:rPr>
          <w:rFonts w:ascii="Times New Roman" w:hAnsi="Times New Roman" w:cs="Times New Roman"/>
          <w:sz w:val="24"/>
          <w:szCs w:val="24"/>
        </w:rPr>
      </w:pPr>
      <w:r>
        <w:rPr>
          <w:rFonts w:ascii="Times New Roman" w:hAnsi="Times New Roman" w:cs="Times New Roman"/>
          <w:b/>
          <w:bCs/>
          <w:sz w:val="24"/>
          <w:szCs w:val="24"/>
        </w:rPr>
        <w:lastRenderedPageBreak/>
        <w:t>Background</w:t>
      </w:r>
    </w:p>
    <w:p w14:paraId="5CC76E0B" w14:textId="77777777" w:rsidR="00BB5AFB" w:rsidRDefault="00BB5AFB" w:rsidP="000E7A3D">
      <w:pPr>
        <w:pStyle w:val="PlainText"/>
        <w:keepNext/>
        <w:keepLines/>
        <w:ind w:firstLine="720"/>
        <w:jc w:val="both"/>
        <w:rPr>
          <w:rFonts w:ascii="Times New Roman" w:hAnsi="Times New Roman" w:cs="Times New Roman"/>
          <w:sz w:val="24"/>
          <w:szCs w:val="24"/>
        </w:rPr>
      </w:pPr>
      <w:r>
        <w:rPr>
          <w:rFonts w:ascii="Times New Roman" w:hAnsi="Times New Roman" w:cs="Times New Roman"/>
          <w:sz w:val="24"/>
          <w:szCs w:val="24"/>
        </w:rPr>
        <w:t xml:space="preserve">The study is expected to begin on or before June 1, 2022.  </w:t>
      </w:r>
      <w:r w:rsidR="002267FC">
        <w:rPr>
          <w:rFonts w:ascii="Times New Roman" w:hAnsi="Times New Roman" w:cs="Times New Roman"/>
          <w:sz w:val="24"/>
          <w:szCs w:val="24"/>
        </w:rPr>
        <w:t xml:space="preserve">The initial length of the study will be three (3) years at which time a thorough research </w:t>
      </w:r>
      <w:r w:rsidR="00431D06">
        <w:rPr>
          <w:rFonts w:ascii="Times New Roman" w:hAnsi="Times New Roman" w:cs="Times New Roman"/>
          <w:sz w:val="24"/>
          <w:szCs w:val="24"/>
        </w:rPr>
        <w:t>report will be produced and published for peer review</w:t>
      </w:r>
      <w:r w:rsidR="002267FC">
        <w:rPr>
          <w:rFonts w:ascii="Times New Roman" w:hAnsi="Times New Roman" w:cs="Times New Roman"/>
          <w:sz w:val="24"/>
          <w:szCs w:val="24"/>
        </w:rPr>
        <w:t xml:space="preserve">.  The Committee hopes to maintain a high level of member participation and obtain the necessary funding to extend the study </w:t>
      </w:r>
      <w:r w:rsidR="00431D06">
        <w:rPr>
          <w:rFonts w:ascii="Times New Roman" w:hAnsi="Times New Roman" w:cs="Times New Roman"/>
          <w:sz w:val="24"/>
          <w:szCs w:val="24"/>
        </w:rPr>
        <w:t xml:space="preserve">for at least one (and preferably two) </w:t>
      </w:r>
      <w:r w:rsidR="000D64D7" w:rsidRPr="000D64D7">
        <w:rPr>
          <w:rFonts w:ascii="Times New Roman" w:hAnsi="Times New Roman" w:cs="Times New Roman"/>
          <w:sz w:val="24"/>
          <w:szCs w:val="24"/>
          <w:u w:val="single"/>
        </w:rPr>
        <w:t>additional</w:t>
      </w:r>
      <w:r w:rsidR="00431D06">
        <w:rPr>
          <w:rFonts w:ascii="Times New Roman" w:hAnsi="Times New Roman" w:cs="Times New Roman"/>
          <w:sz w:val="24"/>
          <w:szCs w:val="24"/>
        </w:rPr>
        <w:t xml:space="preserve"> three (3) year period(s).  </w:t>
      </w:r>
      <w:r>
        <w:rPr>
          <w:rFonts w:ascii="Times New Roman" w:hAnsi="Times New Roman" w:cs="Times New Roman"/>
          <w:sz w:val="24"/>
          <w:szCs w:val="24"/>
        </w:rPr>
        <w:t xml:space="preserve">Prior to the commencement of the study, NAPgA will circulate a voluntary survey to its members to obtain a variety of information from survey respondents.  The survey will </w:t>
      </w:r>
      <w:r w:rsidR="003C583F">
        <w:rPr>
          <w:rFonts w:ascii="Times New Roman" w:hAnsi="Times New Roman" w:cs="Times New Roman"/>
          <w:sz w:val="24"/>
          <w:szCs w:val="24"/>
        </w:rPr>
        <w:t xml:space="preserve">include </w:t>
      </w:r>
      <w:r w:rsidR="003611D0">
        <w:rPr>
          <w:rFonts w:ascii="Times New Roman" w:hAnsi="Times New Roman" w:cs="Times New Roman"/>
          <w:sz w:val="24"/>
          <w:szCs w:val="24"/>
        </w:rPr>
        <w:t xml:space="preserve">questions related to the </w:t>
      </w:r>
      <w:r w:rsidR="003C583F">
        <w:rPr>
          <w:rFonts w:ascii="Times New Roman" w:hAnsi="Times New Roman" w:cs="Times New Roman"/>
          <w:sz w:val="24"/>
          <w:szCs w:val="24"/>
        </w:rPr>
        <w:t>number of years of goat ownership,</w:t>
      </w:r>
      <w:r w:rsidR="00AD23C3">
        <w:rPr>
          <w:rFonts w:ascii="Times New Roman" w:hAnsi="Times New Roman" w:cs="Times New Roman"/>
          <w:sz w:val="24"/>
          <w:szCs w:val="24"/>
        </w:rPr>
        <w:t xml:space="preserve"> city/state/county of residence,</w:t>
      </w:r>
      <w:r w:rsidR="003C583F">
        <w:rPr>
          <w:rFonts w:ascii="Times New Roman" w:hAnsi="Times New Roman" w:cs="Times New Roman"/>
          <w:sz w:val="24"/>
          <w:szCs w:val="24"/>
        </w:rPr>
        <w:t xml:space="preserve"> herd size, </w:t>
      </w:r>
      <w:r w:rsidR="00AD23C3">
        <w:rPr>
          <w:rFonts w:ascii="Times New Roman" w:hAnsi="Times New Roman" w:cs="Times New Roman"/>
          <w:sz w:val="24"/>
          <w:szCs w:val="24"/>
        </w:rPr>
        <w:t xml:space="preserve">age and breeds of goats, </w:t>
      </w:r>
      <w:r w:rsidR="00D447A0">
        <w:rPr>
          <w:rFonts w:ascii="Times New Roman" w:hAnsi="Times New Roman" w:cs="Times New Roman"/>
          <w:sz w:val="24"/>
          <w:szCs w:val="24"/>
        </w:rPr>
        <w:t>f</w:t>
      </w:r>
      <w:r w:rsidR="003611D0">
        <w:rPr>
          <w:rFonts w:ascii="Times New Roman" w:hAnsi="Times New Roman" w:cs="Times New Roman"/>
          <w:sz w:val="24"/>
          <w:szCs w:val="24"/>
        </w:rPr>
        <w:t>eed</w:t>
      </w:r>
      <w:r w:rsidR="005E170D">
        <w:rPr>
          <w:rFonts w:ascii="Times New Roman" w:hAnsi="Times New Roman" w:cs="Times New Roman"/>
          <w:sz w:val="24"/>
          <w:szCs w:val="24"/>
        </w:rPr>
        <w:t xml:space="preserve"> and </w:t>
      </w:r>
      <w:r w:rsidR="003611D0">
        <w:rPr>
          <w:rFonts w:ascii="Times New Roman" w:hAnsi="Times New Roman" w:cs="Times New Roman"/>
          <w:sz w:val="24"/>
          <w:szCs w:val="24"/>
        </w:rPr>
        <w:t>water</w:t>
      </w:r>
      <w:r w:rsidR="005E170D">
        <w:rPr>
          <w:rFonts w:ascii="Times New Roman" w:hAnsi="Times New Roman" w:cs="Times New Roman"/>
          <w:sz w:val="24"/>
          <w:szCs w:val="24"/>
        </w:rPr>
        <w:t xml:space="preserve"> </w:t>
      </w:r>
      <w:r w:rsidR="003611D0">
        <w:rPr>
          <w:rFonts w:ascii="Times New Roman" w:hAnsi="Times New Roman" w:cs="Times New Roman"/>
          <w:sz w:val="24"/>
          <w:szCs w:val="24"/>
        </w:rPr>
        <w:t>program information, animal husbandry</w:t>
      </w:r>
      <w:r w:rsidR="005E170D">
        <w:rPr>
          <w:rFonts w:ascii="Times New Roman" w:hAnsi="Times New Roman" w:cs="Times New Roman"/>
          <w:sz w:val="24"/>
          <w:szCs w:val="24"/>
        </w:rPr>
        <w:t xml:space="preserve"> and housing</w:t>
      </w:r>
      <w:r w:rsidR="003611D0">
        <w:rPr>
          <w:rFonts w:ascii="Times New Roman" w:hAnsi="Times New Roman" w:cs="Times New Roman"/>
          <w:sz w:val="24"/>
          <w:szCs w:val="24"/>
        </w:rPr>
        <w:t xml:space="preserve"> practices, an assessment of respondent’s potential commitment to participate in a long-term research study, </w:t>
      </w:r>
      <w:r w:rsidR="00D93738">
        <w:rPr>
          <w:rFonts w:ascii="Times New Roman" w:hAnsi="Times New Roman" w:cs="Times New Roman"/>
          <w:sz w:val="24"/>
          <w:szCs w:val="24"/>
        </w:rPr>
        <w:t xml:space="preserve">and </w:t>
      </w:r>
      <w:r w:rsidR="00DA6559">
        <w:rPr>
          <w:rFonts w:ascii="Times New Roman" w:hAnsi="Times New Roman" w:cs="Times New Roman"/>
          <w:sz w:val="24"/>
          <w:szCs w:val="24"/>
        </w:rPr>
        <w:t>an extensive array of data regarding the goats and farms enrolled in the study.</w:t>
      </w:r>
    </w:p>
    <w:p w14:paraId="69D57934" w14:textId="77777777" w:rsidR="00F650F9" w:rsidRDefault="00F650F9" w:rsidP="00540F73">
      <w:pPr>
        <w:pStyle w:val="PlainText"/>
        <w:keepNext/>
        <w:keepLines/>
        <w:jc w:val="both"/>
        <w:rPr>
          <w:rFonts w:ascii="Times New Roman" w:hAnsi="Times New Roman" w:cs="Times New Roman"/>
          <w:sz w:val="24"/>
          <w:szCs w:val="24"/>
        </w:rPr>
      </w:pPr>
    </w:p>
    <w:p w14:paraId="3D97BE98" w14:textId="77777777" w:rsidR="003C583F" w:rsidRDefault="003C583F" w:rsidP="00BB5AFB">
      <w:pPr>
        <w:pStyle w:val="PlainText"/>
        <w:jc w:val="both"/>
        <w:rPr>
          <w:rFonts w:ascii="Times New Roman" w:hAnsi="Times New Roman" w:cs="Times New Roman"/>
          <w:sz w:val="24"/>
          <w:szCs w:val="24"/>
        </w:rPr>
      </w:pPr>
      <w:r>
        <w:rPr>
          <w:rFonts w:ascii="Times New Roman" w:hAnsi="Times New Roman" w:cs="Times New Roman"/>
          <w:sz w:val="24"/>
          <w:szCs w:val="24"/>
        </w:rPr>
        <w:tab/>
      </w:r>
      <w:r w:rsidR="00DA6559">
        <w:rPr>
          <w:rFonts w:ascii="Times New Roman" w:hAnsi="Times New Roman" w:cs="Times New Roman"/>
          <w:sz w:val="24"/>
          <w:szCs w:val="24"/>
        </w:rPr>
        <w:t>The Committee</w:t>
      </w:r>
      <w:r>
        <w:rPr>
          <w:rFonts w:ascii="Times New Roman" w:hAnsi="Times New Roman" w:cs="Times New Roman"/>
          <w:sz w:val="24"/>
          <w:szCs w:val="24"/>
        </w:rPr>
        <w:t xml:space="preserve">, with the assistance of </w:t>
      </w:r>
      <w:r w:rsidR="0018786A">
        <w:rPr>
          <w:rFonts w:ascii="Times New Roman" w:hAnsi="Times New Roman" w:cs="Times New Roman"/>
          <w:sz w:val="24"/>
          <w:szCs w:val="24"/>
        </w:rPr>
        <w:t xml:space="preserve">a </w:t>
      </w:r>
      <w:r w:rsidR="00166CBD">
        <w:rPr>
          <w:rFonts w:ascii="Times New Roman" w:hAnsi="Times New Roman" w:cs="Times New Roman"/>
          <w:sz w:val="24"/>
          <w:szCs w:val="24"/>
        </w:rPr>
        <w:t>Co-Investigator</w:t>
      </w:r>
      <w:r>
        <w:rPr>
          <w:rFonts w:ascii="Times New Roman" w:hAnsi="Times New Roman" w:cs="Times New Roman"/>
          <w:sz w:val="24"/>
          <w:szCs w:val="24"/>
        </w:rPr>
        <w:t xml:space="preserve">, will select </w:t>
      </w:r>
      <w:r w:rsidR="00360714">
        <w:rPr>
          <w:rFonts w:ascii="Times New Roman" w:hAnsi="Times New Roman" w:cs="Times New Roman"/>
          <w:sz w:val="24"/>
          <w:szCs w:val="24"/>
        </w:rPr>
        <w:t>a representative group</w:t>
      </w:r>
      <w:r>
        <w:rPr>
          <w:rFonts w:ascii="Times New Roman" w:hAnsi="Times New Roman" w:cs="Times New Roman"/>
          <w:sz w:val="24"/>
          <w:szCs w:val="24"/>
        </w:rPr>
        <w:t xml:space="preserve"> of survey respondents that meet the study parameters </w:t>
      </w:r>
      <w:r w:rsidR="00D447A0">
        <w:rPr>
          <w:rFonts w:ascii="Times New Roman" w:hAnsi="Times New Roman" w:cs="Times New Roman"/>
          <w:sz w:val="24"/>
          <w:szCs w:val="24"/>
        </w:rPr>
        <w:t xml:space="preserve">and invite those respondents to complete an application </w:t>
      </w:r>
      <w:r w:rsidR="00360714">
        <w:rPr>
          <w:rFonts w:ascii="Times New Roman" w:hAnsi="Times New Roman" w:cs="Times New Roman"/>
          <w:sz w:val="24"/>
          <w:szCs w:val="24"/>
        </w:rPr>
        <w:t xml:space="preserve">to participate </w:t>
      </w:r>
      <w:r w:rsidR="00D447A0">
        <w:rPr>
          <w:rFonts w:ascii="Times New Roman" w:hAnsi="Times New Roman" w:cs="Times New Roman"/>
          <w:sz w:val="24"/>
          <w:szCs w:val="24"/>
        </w:rPr>
        <w:t xml:space="preserve">in the study.  </w:t>
      </w:r>
      <w:r w:rsidR="00360714">
        <w:rPr>
          <w:rFonts w:ascii="Times New Roman" w:hAnsi="Times New Roman" w:cs="Times New Roman"/>
          <w:sz w:val="24"/>
          <w:szCs w:val="24"/>
        </w:rPr>
        <w:t>A</w:t>
      </w:r>
      <w:r w:rsidR="00D447A0">
        <w:rPr>
          <w:rFonts w:ascii="Times New Roman" w:hAnsi="Times New Roman" w:cs="Times New Roman"/>
          <w:sz w:val="24"/>
          <w:szCs w:val="24"/>
        </w:rPr>
        <w:t xml:space="preserve">pplication packets </w:t>
      </w:r>
      <w:r w:rsidR="00360714">
        <w:rPr>
          <w:rFonts w:ascii="Times New Roman" w:hAnsi="Times New Roman" w:cs="Times New Roman"/>
          <w:sz w:val="24"/>
          <w:szCs w:val="24"/>
        </w:rPr>
        <w:t>sent to p</w:t>
      </w:r>
      <w:r w:rsidR="002267FC">
        <w:rPr>
          <w:rFonts w:ascii="Times New Roman" w:hAnsi="Times New Roman" w:cs="Times New Roman"/>
          <w:sz w:val="24"/>
          <w:szCs w:val="24"/>
        </w:rPr>
        <w:t xml:space="preserve">otential study participants </w:t>
      </w:r>
      <w:r w:rsidR="00D447A0">
        <w:rPr>
          <w:rFonts w:ascii="Times New Roman" w:hAnsi="Times New Roman" w:cs="Times New Roman"/>
          <w:sz w:val="24"/>
          <w:szCs w:val="24"/>
        </w:rPr>
        <w:t>will include the specific study parameters, financial</w:t>
      </w:r>
      <w:r w:rsidR="003611D0">
        <w:rPr>
          <w:rFonts w:ascii="Times New Roman" w:hAnsi="Times New Roman" w:cs="Times New Roman"/>
          <w:sz w:val="24"/>
          <w:szCs w:val="24"/>
        </w:rPr>
        <w:t xml:space="preserve"> obligations of NAPgA and the study participants</w:t>
      </w:r>
      <w:r w:rsidR="00D447A0">
        <w:rPr>
          <w:rFonts w:ascii="Times New Roman" w:hAnsi="Times New Roman" w:cs="Times New Roman"/>
          <w:sz w:val="24"/>
          <w:szCs w:val="24"/>
        </w:rPr>
        <w:t xml:space="preserve">, </w:t>
      </w:r>
      <w:r w:rsidR="00DA6559">
        <w:rPr>
          <w:rFonts w:ascii="Times New Roman" w:hAnsi="Times New Roman" w:cs="Times New Roman"/>
          <w:sz w:val="24"/>
          <w:szCs w:val="24"/>
        </w:rPr>
        <w:t>requirements and expectations of study participants, and other necessary relevant information</w:t>
      </w:r>
      <w:r w:rsidR="003611D0">
        <w:rPr>
          <w:rFonts w:ascii="Times New Roman" w:hAnsi="Times New Roman" w:cs="Times New Roman"/>
          <w:sz w:val="24"/>
          <w:szCs w:val="24"/>
        </w:rPr>
        <w:t xml:space="preserve">.  </w:t>
      </w:r>
      <w:r w:rsidR="00D447A0">
        <w:rPr>
          <w:rFonts w:ascii="Times New Roman" w:hAnsi="Times New Roman" w:cs="Times New Roman"/>
          <w:sz w:val="24"/>
          <w:szCs w:val="24"/>
        </w:rPr>
        <w:t xml:space="preserve">Applications will be reviewed and approved </w:t>
      </w:r>
      <w:r w:rsidR="003611D0">
        <w:rPr>
          <w:rFonts w:ascii="Times New Roman" w:hAnsi="Times New Roman" w:cs="Times New Roman"/>
          <w:sz w:val="24"/>
          <w:szCs w:val="24"/>
        </w:rPr>
        <w:t>(</w:t>
      </w:r>
      <w:r w:rsidR="00D447A0">
        <w:rPr>
          <w:rFonts w:ascii="Times New Roman" w:hAnsi="Times New Roman" w:cs="Times New Roman"/>
          <w:sz w:val="24"/>
          <w:szCs w:val="24"/>
        </w:rPr>
        <w:t>or denied</w:t>
      </w:r>
      <w:r w:rsidR="003611D0">
        <w:rPr>
          <w:rFonts w:ascii="Times New Roman" w:hAnsi="Times New Roman" w:cs="Times New Roman"/>
          <w:sz w:val="24"/>
          <w:szCs w:val="24"/>
        </w:rPr>
        <w:t>)</w:t>
      </w:r>
      <w:r w:rsidR="00D447A0">
        <w:rPr>
          <w:rFonts w:ascii="Times New Roman" w:hAnsi="Times New Roman" w:cs="Times New Roman"/>
          <w:sz w:val="24"/>
          <w:szCs w:val="24"/>
        </w:rPr>
        <w:t xml:space="preserve"> by the Committee and the </w:t>
      </w:r>
      <w:r w:rsidR="00C6052F">
        <w:rPr>
          <w:rFonts w:ascii="Times New Roman" w:hAnsi="Times New Roman" w:cs="Times New Roman"/>
          <w:sz w:val="24"/>
          <w:szCs w:val="24"/>
        </w:rPr>
        <w:t>Co-Investigator</w:t>
      </w:r>
      <w:r w:rsidR="004327F0">
        <w:rPr>
          <w:rFonts w:ascii="Times New Roman" w:hAnsi="Times New Roman" w:cs="Times New Roman"/>
          <w:sz w:val="24"/>
          <w:szCs w:val="24"/>
        </w:rPr>
        <w:t xml:space="preserve"> </w:t>
      </w:r>
      <w:r w:rsidR="003611D0">
        <w:rPr>
          <w:rFonts w:ascii="Times New Roman" w:hAnsi="Times New Roman" w:cs="Times New Roman"/>
          <w:sz w:val="24"/>
          <w:szCs w:val="24"/>
        </w:rPr>
        <w:t>without bias or prejudice to ensure a well</w:t>
      </w:r>
      <w:r w:rsidR="002267FC">
        <w:rPr>
          <w:rFonts w:ascii="Times New Roman" w:hAnsi="Times New Roman" w:cs="Times New Roman"/>
          <w:sz w:val="24"/>
          <w:szCs w:val="24"/>
        </w:rPr>
        <w:t>-</w:t>
      </w:r>
      <w:r w:rsidR="003611D0">
        <w:rPr>
          <w:rFonts w:ascii="Times New Roman" w:hAnsi="Times New Roman" w:cs="Times New Roman"/>
          <w:sz w:val="24"/>
          <w:szCs w:val="24"/>
        </w:rPr>
        <w:t xml:space="preserve">rounded representative sample of </w:t>
      </w:r>
      <w:r w:rsidR="00166CBD">
        <w:rPr>
          <w:rFonts w:ascii="Times New Roman" w:hAnsi="Times New Roman" w:cs="Times New Roman"/>
          <w:sz w:val="24"/>
          <w:szCs w:val="24"/>
        </w:rPr>
        <w:t>packgoat</w:t>
      </w:r>
      <w:r w:rsidR="003611D0">
        <w:rPr>
          <w:rFonts w:ascii="Times New Roman" w:hAnsi="Times New Roman" w:cs="Times New Roman"/>
          <w:sz w:val="24"/>
          <w:szCs w:val="24"/>
        </w:rPr>
        <w:t xml:space="preserve"> owners</w:t>
      </w:r>
      <w:r w:rsidR="002267FC">
        <w:rPr>
          <w:rFonts w:ascii="Times New Roman" w:hAnsi="Times New Roman" w:cs="Times New Roman"/>
          <w:sz w:val="24"/>
          <w:szCs w:val="24"/>
        </w:rPr>
        <w:t xml:space="preserve"> from throughout, at a minimum, the Western half of the United States</w:t>
      </w:r>
      <w:r w:rsidR="00D447A0">
        <w:rPr>
          <w:rFonts w:ascii="Times New Roman" w:hAnsi="Times New Roman" w:cs="Times New Roman"/>
          <w:sz w:val="24"/>
          <w:szCs w:val="24"/>
        </w:rPr>
        <w:t>.</w:t>
      </w:r>
    </w:p>
    <w:p w14:paraId="0177ACFB" w14:textId="77777777" w:rsidR="00D447A0" w:rsidRDefault="00D447A0" w:rsidP="00BB5AFB">
      <w:pPr>
        <w:pStyle w:val="PlainText"/>
        <w:jc w:val="both"/>
        <w:rPr>
          <w:rFonts w:ascii="Times New Roman" w:hAnsi="Times New Roman" w:cs="Times New Roman"/>
          <w:sz w:val="24"/>
          <w:szCs w:val="24"/>
        </w:rPr>
      </w:pPr>
    </w:p>
    <w:p w14:paraId="6733D1E7" w14:textId="77777777" w:rsidR="0098317E" w:rsidRPr="0098317E" w:rsidRDefault="00D447A0" w:rsidP="0098317E">
      <w:pPr>
        <w:pStyle w:val="PlainText"/>
        <w:spacing w:after="200"/>
        <w:ind w:firstLine="720"/>
        <w:jc w:val="both"/>
        <w:rPr>
          <w:rFonts w:ascii="Times New Roman" w:hAnsi="Times New Roman" w:cs="Times New Roman"/>
          <w:sz w:val="24"/>
          <w:szCs w:val="24"/>
        </w:rPr>
      </w:pPr>
      <w:r>
        <w:rPr>
          <w:rFonts w:ascii="Times New Roman" w:hAnsi="Times New Roman" w:cs="Times New Roman"/>
          <w:sz w:val="24"/>
          <w:szCs w:val="24"/>
        </w:rPr>
        <w:t xml:space="preserve">A “Welcome Packet” consisting of </w:t>
      </w:r>
      <w:r w:rsidR="008B3A0E">
        <w:rPr>
          <w:rFonts w:ascii="Times New Roman" w:hAnsi="Times New Roman" w:cs="Times New Roman"/>
          <w:sz w:val="24"/>
          <w:szCs w:val="24"/>
        </w:rPr>
        <w:t>a Memorandum of Understanding/Agreement, educational</w:t>
      </w:r>
      <w:r w:rsidR="005A712D">
        <w:rPr>
          <w:rFonts w:ascii="Times New Roman" w:hAnsi="Times New Roman" w:cs="Times New Roman"/>
          <w:sz w:val="24"/>
          <w:szCs w:val="24"/>
        </w:rPr>
        <w:t xml:space="preserve"> and</w:t>
      </w:r>
      <w:r w:rsidR="008B3A0E">
        <w:rPr>
          <w:rFonts w:ascii="Times New Roman" w:hAnsi="Times New Roman" w:cs="Times New Roman"/>
          <w:sz w:val="24"/>
          <w:szCs w:val="24"/>
        </w:rPr>
        <w:t xml:space="preserve"> instructional</w:t>
      </w:r>
      <w:r w:rsidR="005A712D">
        <w:rPr>
          <w:rFonts w:ascii="Times New Roman" w:hAnsi="Times New Roman" w:cs="Times New Roman"/>
          <w:sz w:val="24"/>
          <w:szCs w:val="24"/>
        </w:rPr>
        <w:t xml:space="preserve"> materials</w:t>
      </w:r>
      <w:r w:rsidR="008B3A0E">
        <w:rPr>
          <w:rFonts w:ascii="Times New Roman" w:hAnsi="Times New Roman" w:cs="Times New Roman"/>
          <w:sz w:val="24"/>
          <w:szCs w:val="24"/>
        </w:rPr>
        <w:t xml:space="preserve">, treatment protocols and recommendations, </w:t>
      </w:r>
      <w:r w:rsidR="005A712D">
        <w:rPr>
          <w:rFonts w:ascii="Times New Roman" w:hAnsi="Times New Roman" w:cs="Times New Roman"/>
          <w:sz w:val="24"/>
          <w:szCs w:val="24"/>
        </w:rPr>
        <w:t xml:space="preserve">clear instructions and guidelines for required study protocols, </w:t>
      </w:r>
      <w:r w:rsidR="008B3A0E">
        <w:rPr>
          <w:rFonts w:ascii="Times New Roman" w:hAnsi="Times New Roman" w:cs="Times New Roman"/>
          <w:sz w:val="24"/>
          <w:szCs w:val="24"/>
        </w:rPr>
        <w:t xml:space="preserve">and other relevant documents will be mailed to study participants well in advance of the commencement of the project.  </w:t>
      </w:r>
      <w:r w:rsidR="00F650F9" w:rsidRPr="00191390">
        <w:rPr>
          <w:rFonts w:ascii="Times New Roman" w:hAnsi="Times New Roman" w:cs="Times New Roman"/>
          <w:bCs/>
          <w:sz w:val="24"/>
          <w:szCs w:val="24"/>
        </w:rPr>
        <w:t xml:space="preserve">The </w:t>
      </w:r>
      <w:r w:rsidR="003263C0">
        <w:rPr>
          <w:rFonts w:ascii="Times New Roman" w:hAnsi="Times New Roman" w:cs="Times New Roman"/>
          <w:bCs/>
          <w:sz w:val="24"/>
          <w:szCs w:val="24"/>
        </w:rPr>
        <w:t>C</w:t>
      </w:r>
      <w:r w:rsidR="00F650F9" w:rsidRPr="00191390">
        <w:rPr>
          <w:rFonts w:ascii="Times New Roman" w:hAnsi="Times New Roman" w:cs="Times New Roman"/>
          <w:bCs/>
          <w:sz w:val="24"/>
          <w:szCs w:val="24"/>
        </w:rPr>
        <w:t xml:space="preserve">ommittee will follow up with verbal communication to ensure participants </w:t>
      </w:r>
      <w:r w:rsidR="003263C0">
        <w:rPr>
          <w:rFonts w:ascii="Times New Roman" w:hAnsi="Times New Roman" w:cs="Times New Roman"/>
          <w:bCs/>
          <w:sz w:val="24"/>
          <w:szCs w:val="24"/>
        </w:rPr>
        <w:t xml:space="preserve">fully </w:t>
      </w:r>
      <w:r w:rsidR="00F650F9" w:rsidRPr="00191390">
        <w:rPr>
          <w:rFonts w:ascii="Times New Roman" w:hAnsi="Times New Roman" w:cs="Times New Roman"/>
          <w:bCs/>
          <w:sz w:val="24"/>
          <w:szCs w:val="24"/>
        </w:rPr>
        <w:t xml:space="preserve">understand </w:t>
      </w:r>
      <w:r w:rsidR="004327F0">
        <w:rPr>
          <w:rFonts w:ascii="Times New Roman" w:hAnsi="Times New Roman" w:cs="Times New Roman"/>
          <w:bCs/>
          <w:sz w:val="24"/>
          <w:szCs w:val="24"/>
        </w:rPr>
        <w:t xml:space="preserve">the </w:t>
      </w:r>
      <w:r w:rsidR="00F650F9" w:rsidRPr="00191390">
        <w:rPr>
          <w:rFonts w:ascii="Times New Roman" w:hAnsi="Times New Roman" w:cs="Times New Roman"/>
          <w:bCs/>
          <w:sz w:val="24"/>
          <w:szCs w:val="24"/>
        </w:rPr>
        <w:t>information in the “Welcome Packet.”</w:t>
      </w:r>
    </w:p>
    <w:p w14:paraId="4A087804" w14:textId="77777777" w:rsidR="00C03FFB" w:rsidRDefault="00C03FFB" w:rsidP="000E7A3D">
      <w:pPr>
        <w:spacing w:after="120"/>
        <w:jc w:val="center"/>
        <w:rPr>
          <w:rFonts w:ascii="Times New Roman" w:hAnsi="Times New Roman" w:cs="Times New Roman"/>
          <w:sz w:val="24"/>
          <w:szCs w:val="24"/>
        </w:rPr>
      </w:pPr>
      <w:r>
        <w:rPr>
          <w:rFonts w:ascii="Times New Roman" w:hAnsi="Times New Roman" w:cs="Times New Roman"/>
          <w:b/>
          <w:bCs/>
          <w:sz w:val="24"/>
          <w:szCs w:val="24"/>
        </w:rPr>
        <w:t>NAPgA Team</w:t>
      </w:r>
    </w:p>
    <w:p w14:paraId="41F10260" w14:textId="77777777" w:rsidR="00C03FFB" w:rsidRDefault="00C03FFB" w:rsidP="000E7A3D">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1549A8">
        <w:rPr>
          <w:rFonts w:ascii="Times New Roman" w:hAnsi="Times New Roman" w:cs="Times New Roman"/>
          <w:sz w:val="24"/>
          <w:szCs w:val="24"/>
        </w:rPr>
        <w:t xml:space="preserve">Committee members are </w:t>
      </w:r>
      <w:r w:rsidR="00BA1910">
        <w:rPr>
          <w:rFonts w:ascii="Times New Roman" w:hAnsi="Times New Roman" w:cs="Times New Roman"/>
          <w:sz w:val="24"/>
          <w:szCs w:val="24"/>
        </w:rPr>
        <w:t xml:space="preserve">experienced goat owners who have </w:t>
      </w:r>
      <w:r w:rsidR="00CC6C93">
        <w:rPr>
          <w:rFonts w:ascii="Times New Roman" w:hAnsi="Times New Roman" w:cs="Times New Roman"/>
          <w:sz w:val="24"/>
          <w:szCs w:val="24"/>
        </w:rPr>
        <w:t xml:space="preserve">many </w:t>
      </w:r>
      <w:r w:rsidR="00BA1910">
        <w:rPr>
          <w:rFonts w:ascii="Times New Roman" w:hAnsi="Times New Roman" w:cs="Times New Roman"/>
          <w:sz w:val="24"/>
          <w:szCs w:val="24"/>
        </w:rPr>
        <w:t>years of</w:t>
      </w:r>
      <w:r w:rsidR="00CC6C93">
        <w:rPr>
          <w:rFonts w:ascii="Times New Roman" w:hAnsi="Times New Roman" w:cs="Times New Roman"/>
          <w:sz w:val="24"/>
          <w:szCs w:val="24"/>
        </w:rPr>
        <w:t xml:space="preserve"> collective</w:t>
      </w:r>
      <w:r w:rsidR="00BA1910">
        <w:rPr>
          <w:rFonts w:ascii="Times New Roman" w:hAnsi="Times New Roman" w:cs="Times New Roman"/>
          <w:sz w:val="24"/>
          <w:szCs w:val="24"/>
        </w:rPr>
        <w:t xml:space="preserve"> experience </w:t>
      </w:r>
      <w:r w:rsidR="00F650F9">
        <w:rPr>
          <w:rFonts w:ascii="Times New Roman" w:hAnsi="Times New Roman" w:cs="Times New Roman"/>
          <w:sz w:val="24"/>
          <w:szCs w:val="24"/>
        </w:rPr>
        <w:t xml:space="preserve">in </w:t>
      </w:r>
      <w:r w:rsidR="00BA1910">
        <w:rPr>
          <w:rFonts w:ascii="Times New Roman" w:hAnsi="Times New Roman" w:cs="Times New Roman"/>
          <w:sz w:val="24"/>
          <w:szCs w:val="24"/>
        </w:rPr>
        <w:t xml:space="preserve">breeding and raising goats, including wethered male goats, for use </w:t>
      </w:r>
      <w:r w:rsidR="00CC6C93">
        <w:rPr>
          <w:rFonts w:ascii="Times New Roman" w:hAnsi="Times New Roman" w:cs="Times New Roman"/>
          <w:sz w:val="24"/>
          <w:szCs w:val="24"/>
        </w:rPr>
        <w:t xml:space="preserve">for </w:t>
      </w:r>
      <w:r w:rsidR="00BA1910">
        <w:rPr>
          <w:rFonts w:ascii="Times New Roman" w:hAnsi="Times New Roman" w:cs="Times New Roman"/>
          <w:sz w:val="24"/>
          <w:szCs w:val="24"/>
        </w:rPr>
        <w:t xml:space="preserve">dairy and meat production, </w:t>
      </w:r>
      <w:r w:rsidR="00CC6C93">
        <w:rPr>
          <w:rFonts w:ascii="Times New Roman" w:hAnsi="Times New Roman" w:cs="Times New Roman"/>
          <w:sz w:val="24"/>
          <w:szCs w:val="24"/>
        </w:rPr>
        <w:t>pack</w:t>
      </w:r>
      <w:r w:rsidR="00E4699D">
        <w:rPr>
          <w:rFonts w:ascii="Times New Roman" w:hAnsi="Times New Roman" w:cs="Times New Roman"/>
          <w:sz w:val="24"/>
          <w:szCs w:val="24"/>
        </w:rPr>
        <w:t xml:space="preserve">ing, carting, showing, 4-H, </w:t>
      </w:r>
      <w:r w:rsidR="00C261B2">
        <w:rPr>
          <w:rFonts w:ascii="Times New Roman" w:hAnsi="Times New Roman" w:cs="Times New Roman"/>
          <w:sz w:val="24"/>
          <w:szCs w:val="24"/>
        </w:rPr>
        <w:t>pets,</w:t>
      </w:r>
      <w:r w:rsidR="00E4699D">
        <w:rPr>
          <w:rFonts w:ascii="Times New Roman" w:hAnsi="Times New Roman" w:cs="Times New Roman"/>
          <w:sz w:val="24"/>
          <w:szCs w:val="24"/>
        </w:rPr>
        <w:t xml:space="preserve"> and other purposes.  The Committee members have </w:t>
      </w:r>
      <w:r w:rsidR="00F650F9">
        <w:rPr>
          <w:rFonts w:ascii="Times New Roman" w:hAnsi="Times New Roman" w:cs="Times New Roman"/>
          <w:sz w:val="24"/>
          <w:szCs w:val="24"/>
        </w:rPr>
        <w:t>the</w:t>
      </w:r>
      <w:r w:rsidR="00E4699D">
        <w:rPr>
          <w:rFonts w:ascii="Times New Roman" w:hAnsi="Times New Roman" w:cs="Times New Roman"/>
          <w:sz w:val="24"/>
          <w:szCs w:val="24"/>
        </w:rPr>
        <w:t xml:space="preserve"> experience, training, dedication and work ethic necessary to </w:t>
      </w:r>
      <w:r w:rsidR="007F1D11">
        <w:rPr>
          <w:rFonts w:ascii="Times New Roman" w:hAnsi="Times New Roman" w:cs="Times New Roman"/>
          <w:sz w:val="24"/>
          <w:szCs w:val="24"/>
        </w:rPr>
        <w:t xml:space="preserve">design </w:t>
      </w:r>
      <w:r w:rsidR="00E4699D">
        <w:rPr>
          <w:rFonts w:ascii="Times New Roman" w:hAnsi="Times New Roman" w:cs="Times New Roman"/>
          <w:sz w:val="24"/>
          <w:szCs w:val="24"/>
        </w:rPr>
        <w:t xml:space="preserve">and oversee </w:t>
      </w:r>
      <w:r w:rsidR="007F1D11">
        <w:rPr>
          <w:rFonts w:ascii="Times New Roman" w:hAnsi="Times New Roman" w:cs="Times New Roman"/>
          <w:sz w:val="24"/>
          <w:szCs w:val="24"/>
        </w:rPr>
        <w:t xml:space="preserve">this </w:t>
      </w:r>
      <w:r>
        <w:rPr>
          <w:rFonts w:ascii="Times New Roman" w:hAnsi="Times New Roman" w:cs="Times New Roman"/>
          <w:sz w:val="24"/>
          <w:szCs w:val="24"/>
        </w:rPr>
        <w:t xml:space="preserve">study.  </w:t>
      </w:r>
      <w:r w:rsidR="007F1D11">
        <w:rPr>
          <w:rFonts w:ascii="Times New Roman" w:hAnsi="Times New Roman" w:cs="Times New Roman"/>
          <w:sz w:val="24"/>
          <w:szCs w:val="24"/>
        </w:rPr>
        <w:t xml:space="preserve">Committee members include </w:t>
      </w:r>
      <w:r>
        <w:rPr>
          <w:rFonts w:ascii="Times New Roman" w:hAnsi="Times New Roman" w:cs="Times New Roman"/>
          <w:sz w:val="24"/>
          <w:szCs w:val="24"/>
        </w:rPr>
        <w:t>a diagnostic researcher</w:t>
      </w:r>
      <w:r w:rsidR="007F1D11">
        <w:rPr>
          <w:rFonts w:ascii="Times New Roman" w:hAnsi="Times New Roman" w:cs="Times New Roman"/>
          <w:sz w:val="24"/>
          <w:szCs w:val="24"/>
        </w:rPr>
        <w:t xml:space="preserve">, </w:t>
      </w:r>
      <w:r>
        <w:rPr>
          <w:rFonts w:ascii="Times New Roman" w:hAnsi="Times New Roman" w:cs="Times New Roman"/>
          <w:sz w:val="24"/>
          <w:szCs w:val="24"/>
        </w:rPr>
        <w:t>business owners</w:t>
      </w:r>
      <w:r w:rsidR="007F1D11">
        <w:rPr>
          <w:rFonts w:ascii="Times New Roman" w:hAnsi="Times New Roman" w:cs="Times New Roman"/>
          <w:sz w:val="24"/>
          <w:szCs w:val="24"/>
        </w:rPr>
        <w:t>, goat breeders</w:t>
      </w:r>
      <w:r w:rsidR="004327F0">
        <w:rPr>
          <w:rFonts w:ascii="Times New Roman" w:hAnsi="Times New Roman" w:cs="Times New Roman"/>
          <w:sz w:val="24"/>
          <w:szCs w:val="24"/>
        </w:rPr>
        <w:t>,</w:t>
      </w:r>
      <w:r w:rsidR="007F1D11">
        <w:rPr>
          <w:rFonts w:ascii="Times New Roman" w:hAnsi="Times New Roman" w:cs="Times New Roman"/>
          <w:sz w:val="24"/>
          <w:szCs w:val="24"/>
        </w:rPr>
        <w:t xml:space="preserve"> and </w:t>
      </w:r>
      <w:r w:rsidR="00E45A3D">
        <w:rPr>
          <w:rFonts w:ascii="Times New Roman" w:hAnsi="Times New Roman" w:cs="Times New Roman"/>
          <w:sz w:val="24"/>
          <w:szCs w:val="24"/>
        </w:rPr>
        <w:t>producers who</w:t>
      </w:r>
      <w:r>
        <w:rPr>
          <w:rFonts w:ascii="Times New Roman" w:hAnsi="Times New Roman" w:cs="Times New Roman"/>
          <w:sz w:val="24"/>
          <w:szCs w:val="24"/>
        </w:rPr>
        <w:t xml:space="preserve"> </w:t>
      </w:r>
      <w:r w:rsidR="00C6052F">
        <w:rPr>
          <w:rFonts w:ascii="Times New Roman" w:hAnsi="Times New Roman" w:cs="Times New Roman"/>
          <w:sz w:val="24"/>
          <w:szCs w:val="24"/>
        </w:rPr>
        <w:t xml:space="preserve">all </w:t>
      </w:r>
      <w:r>
        <w:rPr>
          <w:rFonts w:ascii="Times New Roman" w:hAnsi="Times New Roman" w:cs="Times New Roman"/>
          <w:sz w:val="24"/>
          <w:szCs w:val="24"/>
        </w:rPr>
        <w:t xml:space="preserve">understand </w:t>
      </w:r>
      <w:r w:rsidR="007F1D11">
        <w:rPr>
          <w:rFonts w:ascii="Times New Roman" w:hAnsi="Times New Roman" w:cs="Times New Roman"/>
          <w:sz w:val="24"/>
          <w:szCs w:val="24"/>
        </w:rPr>
        <w:t xml:space="preserve">the importance of </w:t>
      </w:r>
      <w:r>
        <w:rPr>
          <w:rFonts w:ascii="Times New Roman" w:hAnsi="Times New Roman" w:cs="Times New Roman"/>
          <w:sz w:val="24"/>
          <w:szCs w:val="24"/>
        </w:rPr>
        <w:t xml:space="preserve">fiscal responsibility, time and task management, legal </w:t>
      </w:r>
      <w:r w:rsidR="007F1D11">
        <w:rPr>
          <w:rFonts w:ascii="Times New Roman" w:hAnsi="Times New Roman" w:cs="Times New Roman"/>
          <w:sz w:val="24"/>
          <w:szCs w:val="24"/>
        </w:rPr>
        <w:t>and pers</w:t>
      </w:r>
      <w:r>
        <w:rPr>
          <w:rFonts w:ascii="Times New Roman" w:hAnsi="Times New Roman" w:cs="Times New Roman"/>
          <w:sz w:val="24"/>
          <w:szCs w:val="24"/>
        </w:rPr>
        <w:t>onal privacy</w:t>
      </w:r>
      <w:r w:rsidR="007F1D11">
        <w:rPr>
          <w:rFonts w:ascii="Times New Roman" w:hAnsi="Times New Roman" w:cs="Times New Roman"/>
          <w:sz w:val="24"/>
          <w:szCs w:val="24"/>
        </w:rPr>
        <w:t xml:space="preserve"> issues</w:t>
      </w:r>
      <w:r>
        <w:rPr>
          <w:rFonts w:ascii="Times New Roman" w:hAnsi="Times New Roman" w:cs="Times New Roman"/>
          <w:sz w:val="24"/>
          <w:szCs w:val="24"/>
        </w:rPr>
        <w:t xml:space="preserve">.  Some </w:t>
      </w:r>
      <w:r w:rsidR="007F1D11">
        <w:rPr>
          <w:rFonts w:ascii="Times New Roman" w:hAnsi="Times New Roman" w:cs="Times New Roman"/>
          <w:sz w:val="24"/>
          <w:szCs w:val="24"/>
        </w:rPr>
        <w:t xml:space="preserve">of them own </w:t>
      </w:r>
      <w:r w:rsidR="00A11BA4">
        <w:rPr>
          <w:rFonts w:ascii="Times New Roman" w:hAnsi="Times New Roman" w:cs="Times New Roman"/>
          <w:sz w:val="24"/>
          <w:szCs w:val="24"/>
        </w:rPr>
        <w:t>goats that have survived urinary calculi and/</w:t>
      </w:r>
      <w:r w:rsidR="007F1D11">
        <w:rPr>
          <w:rFonts w:ascii="Times New Roman" w:hAnsi="Times New Roman" w:cs="Times New Roman"/>
          <w:sz w:val="24"/>
          <w:szCs w:val="24"/>
        </w:rPr>
        <w:t>or experienced the los</w:t>
      </w:r>
      <w:r w:rsidR="00A11BA4">
        <w:rPr>
          <w:rFonts w:ascii="Times New Roman" w:hAnsi="Times New Roman" w:cs="Times New Roman"/>
          <w:sz w:val="24"/>
          <w:szCs w:val="24"/>
        </w:rPr>
        <w:t>s</w:t>
      </w:r>
      <w:r>
        <w:rPr>
          <w:rFonts w:ascii="Times New Roman" w:hAnsi="Times New Roman" w:cs="Times New Roman"/>
          <w:sz w:val="24"/>
          <w:szCs w:val="24"/>
        </w:rPr>
        <w:t xml:space="preserve"> of goat</w:t>
      </w:r>
      <w:r w:rsidR="00F650F9">
        <w:rPr>
          <w:rFonts w:ascii="Times New Roman" w:hAnsi="Times New Roman" w:cs="Times New Roman"/>
          <w:sz w:val="24"/>
          <w:szCs w:val="24"/>
        </w:rPr>
        <w:t>s</w:t>
      </w:r>
      <w:r w:rsidR="00A11BA4">
        <w:rPr>
          <w:rFonts w:ascii="Times New Roman" w:hAnsi="Times New Roman" w:cs="Times New Roman"/>
          <w:sz w:val="24"/>
          <w:szCs w:val="24"/>
        </w:rPr>
        <w:t xml:space="preserve"> due to urinary calculi obstruction</w:t>
      </w:r>
      <w:r w:rsidR="00F650F9">
        <w:rPr>
          <w:rFonts w:ascii="Times New Roman" w:hAnsi="Times New Roman" w:cs="Times New Roman"/>
          <w:sz w:val="24"/>
          <w:szCs w:val="24"/>
        </w:rPr>
        <w:t xml:space="preserve"> (urolithiasis)</w:t>
      </w:r>
      <w:r>
        <w:rPr>
          <w:rFonts w:ascii="Times New Roman" w:hAnsi="Times New Roman" w:cs="Times New Roman"/>
          <w:sz w:val="24"/>
          <w:szCs w:val="24"/>
        </w:rPr>
        <w:t>.</w:t>
      </w:r>
    </w:p>
    <w:p w14:paraId="55F4FD4F" w14:textId="77777777" w:rsidR="008E2616" w:rsidRDefault="00FA2013" w:rsidP="008B478E">
      <w:pPr>
        <w:keepNext/>
        <w:spacing w:after="120"/>
        <w:jc w:val="center"/>
        <w:rPr>
          <w:rFonts w:ascii="Times New Roman" w:hAnsi="Times New Roman" w:cs="Times New Roman"/>
          <w:b/>
          <w:bCs/>
          <w:sz w:val="24"/>
          <w:szCs w:val="24"/>
        </w:rPr>
      </w:pPr>
      <w:r>
        <w:rPr>
          <w:rFonts w:ascii="Times New Roman" w:hAnsi="Times New Roman" w:cs="Times New Roman"/>
          <w:b/>
          <w:bCs/>
          <w:sz w:val="24"/>
          <w:szCs w:val="24"/>
        </w:rPr>
        <w:lastRenderedPageBreak/>
        <w:t>Co-Invest</w:t>
      </w:r>
      <w:r w:rsidR="00DA6559">
        <w:rPr>
          <w:rFonts w:ascii="Times New Roman" w:hAnsi="Times New Roman" w:cs="Times New Roman"/>
          <w:b/>
          <w:bCs/>
          <w:sz w:val="24"/>
          <w:szCs w:val="24"/>
        </w:rPr>
        <w:t>igato</w:t>
      </w:r>
      <w:r>
        <w:rPr>
          <w:rFonts w:ascii="Times New Roman" w:hAnsi="Times New Roman" w:cs="Times New Roman"/>
          <w:b/>
          <w:bCs/>
          <w:sz w:val="24"/>
          <w:szCs w:val="24"/>
        </w:rPr>
        <w:t>r</w:t>
      </w:r>
    </w:p>
    <w:p w14:paraId="32A690C6" w14:textId="77777777" w:rsidR="00FA2013" w:rsidRPr="00FA2013" w:rsidRDefault="009C6B31" w:rsidP="0005576B">
      <w:pPr>
        <w:keepNext/>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Meera Heller, DVM, PhD, DACVIM, is serving as co-investigator </w:t>
      </w:r>
      <w:r w:rsidR="00166CBD">
        <w:rPr>
          <w:rFonts w:ascii="Times New Roman" w:hAnsi="Times New Roman" w:cs="Times New Roman"/>
          <w:bCs/>
          <w:sz w:val="24"/>
          <w:szCs w:val="24"/>
        </w:rPr>
        <w:t xml:space="preserve">and assisting with </w:t>
      </w:r>
      <w:r>
        <w:rPr>
          <w:rFonts w:ascii="Times New Roman" w:hAnsi="Times New Roman" w:cs="Times New Roman"/>
          <w:bCs/>
          <w:sz w:val="24"/>
          <w:szCs w:val="24"/>
        </w:rPr>
        <w:t xml:space="preserve">project design </w:t>
      </w:r>
      <w:r w:rsidR="00166CBD">
        <w:rPr>
          <w:rFonts w:ascii="Times New Roman" w:hAnsi="Times New Roman" w:cs="Times New Roman"/>
          <w:bCs/>
          <w:sz w:val="24"/>
          <w:szCs w:val="24"/>
        </w:rPr>
        <w:t xml:space="preserve">for </w:t>
      </w:r>
      <w:r>
        <w:rPr>
          <w:rFonts w:ascii="Times New Roman" w:hAnsi="Times New Roman" w:cs="Times New Roman"/>
          <w:bCs/>
          <w:sz w:val="24"/>
          <w:szCs w:val="24"/>
        </w:rPr>
        <w:t>this study.  Dr.</w:t>
      </w:r>
      <w:r w:rsidR="00F650F9">
        <w:rPr>
          <w:rFonts w:ascii="Times New Roman" w:hAnsi="Times New Roman" w:cs="Times New Roman"/>
          <w:bCs/>
          <w:sz w:val="24"/>
          <w:szCs w:val="24"/>
        </w:rPr>
        <w:t> </w:t>
      </w:r>
      <w:r>
        <w:rPr>
          <w:rFonts w:ascii="Times New Roman" w:hAnsi="Times New Roman" w:cs="Times New Roman"/>
          <w:bCs/>
          <w:sz w:val="24"/>
          <w:szCs w:val="24"/>
        </w:rPr>
        <w:t xml:space="preserve">Heller is an Associate Professor of Clinical Livestock Medicine at the Department of Medicine and Epidemiology in </w:t>
      </w:r>
      <w:r w:rsidR="004327F0">
        <w:rPr>
          <w:rFonts w:ascii="Times New Roman" w:hAnsi="Times New Roman" w:cs="Times New Roman"/>
          <w:bCs/>
          <w:sz w:val="24"/>
          <w:szCs w:val="24"/>
        </w:rPr>
        <w:t xml:space="preserve">the </w:t>
      </w:r>
      <w:r>
        <w:rPr>
          <w:rFonts w:ascii="Times New Roman" w:hAnsi="Times New Roman" w:cs="Times New Roman"/>
          <w:bCs/>
          <w:sz w:val="24"/>
          <w:szCs w:val="24"/>
        </w:rPr>
        <w:t xml:space="preserve">School of Veterinary Medicine at </w:t>
      </w:r>
      <w:r w:rsidR="004327F0">
        <w:rPr>
          <w:rFonts w:ascii="Times New Roman" w:hAnsi="Times New Roman" w:cs="Times New Roman"/>
          <w:bCs/>
          <w:sz w:val="24"/>
          <w:szCs w:val="24"/>
        </w:rPr>
        <w:t xml:space="preserve">the </w:t>
      </w:r>
      <w:r>
        <w:rPr>
          <w:rFonts w:ascii="Times New Roman" w:hAnsi="Times New Roman" w:cs="Times New Roman"/>
          <w:bCs/>
          <w:sz w:val="24"/>
          <w:szCs w:val="24"/>
        </w:rPr>
        <w:t>University of California Davis.</w:t>
      </w:r>
    </w:p>
    <w:p w14:paraId="3B0CC3F0" w14:textId="77777777" w:rsidR="00E64824" w:rsidRDefault="00C03FFB" w:rsidP="0005576B">
      <w:pPr>
        <w:ind w:firstLine="720"/>
        <w:jc w:val="both"/>
        <w:rPr>
          <w:rFonts w:ascii="Times New Roman" w:hAnsi="Times New Roman" w:cs="Times New Roman"/>
          <w:color w:val="26282A"/>
          <w:sz w:val="24"/>
          <w:szCs w:val="24"/>
        </w:rPr>
      </w:pPr>
      <w:r>
        <w:rPr>
          <w:rFonts w:ascii="Times New Roman" w:hAnsi="Times New Roman" w:cs="Times New Roman"/>
          <w:color w:val="26282A"/>
          <w:sz w:val="24"/>
          <w:szCs w:val="24"/>
        </w:rPr>
        <w:t>Dr. Heller</w:t>
      </w:r>
      <w:r w:rsidR="00A11BA4">
        <w:rPr>
          <w:rFonts w:ascii="Times New Roman" w:hAnsi="Times New Roman" w:cs="Times New Roman"/>
          <w:color w:val="26282A"/>
          <w:sz w:val="24"/>
          <w:szCs w:val="24"/>
        </w:rPr>
        <w:t xml:space="preserve"> and the Committee </w:t>
      </w:r>
      <w:r w:rsidR="00462BE6">
        <w:rPr>
          <w:rFonts w:ascii="Times New Roman" w:hAnsi="Times New Roman" w:cs="Times New Roman"/>
          <w:color w:val="26282A"/>
          <w:sz w:val="24"/>
          <w:szCs w:val="24"/>
        </w:rPr>
        <w:t>will</w:t>
      </w:r>
      <w:r w:rsidR="00431D06">
        <w:rPr>
          <w:rFonts w:ascii="Times New Roman" w:hAnsi="Times New Roman" w:cs="Times New Roman"/>
          <w:color w:val="26282A"/>
          <w:sz w:val="24"/>
          <w:szCs w:val="24"/>
        </w:rPr>
        <w:t xml:space="preserve"> </w:t>
      </w:r>
      <w:r w:rsidR="00A11BA4">
        <w:rPr>
          <w:rFonts w:ascii="Times New Roman" w:hAnsi="Times New Roman" w:cs="Times New Roman"/>
          <w:color w:val="26282A"/>
          <w:sz w:val="24"/>
          <w:szCs w:val="24"/>
        </w:rPr>
        <w:t>recruit a</w:t>
      </w:r>
      <w:r>
        <w:rPr>
          <w:rFonts w:ascii="Times New Roman" w:hAnsi="Times New Roman" w:cs="Times New Roman"/>
          <w:color w:val="26282A"/>
          <w:sz w:val="24"/>
          <w:szCs w:val="24"/>
        </w:rPr>
        <w:t xml:space="preserve">dditional researchers, </w:t>
      </w:r>
      <w:r w:rsidR="00FA2013">
        <w:rPr>
          <w:rFonts w:ascii="Times New Roman" w:hAnsi="Times New Roman" w:cs="Times New Roman"/>
          <w:color w:val="26282A"/>
          <w:sz w:val="24"/>
          <w:szCs w:val="24"/>
        </w:rPr>
        <w:t xml:space="preserve">epidemiologists, </w:t>
      </w:r>
      <w:r w:rsidR="00A11BA4">
        <w:rPr>
          <w:rFonts w:ascii="Times New Roman" w:hAnsi="Times New Roman" w:cs="Times New Roman"/>
          <w:color w:val="26282A"/>
          <w:sz w:val="24"/>
          <w:szCs w:val="24"/>
        </w:rPr>
        <w:t xml:space="preserve">statisticians, </w:t>
      </w:r>
      <w:r>
        <w:rPr>
          <w:rFonts w:ascii="Times New Roman" w:hAnsi="Times New Roman" w:cs="Times New Roman"/>
          <w:color w:val="26282A"/>
          <w:sz w:val="24"/>
          <w:szCs w:val="24"/>
        </w:rPr>
        <w:t>laboratories</w:t>
      </w:r>
      <w:r w:rsidR="00A11BA4">
        <w:rPr>
          <w:rFonts w:ascii="Times New Roman" w:hAnsi="Times New Roman" w:cs="Times New Roman"/>
          <w:color w:val="26282A"/>
          <w:sz w:val="24"/>
          <w:szCs w:val="24"/>
        </w:rPr>
        <w:t xml:space="preserve">, </w:t>
      </w:r>
      <w:r w:rsidR="00C261B2">
        <w:rPr>
          <w:rFonts w:ascii="Times New Roman" w:hAnsi="Times New Roman" w:cs="Times New Roman"/>
          <w:color w:val="26282A"/>
          <w:sz w:val="24"/>
          <w:szCs w:val="24"/>
        </w:rPr>
        <w:t>universities,</w:t>
      </w:r>
      <w:r w:rsidR="00A11BA4">
        <w:rPr>
          <w:rFonts w:ascii="Times New Roman" w:hAnsi="Times New Roman" w:cs="Times New Roman"/>
          <w:color w:val="26282A"/>
          <w:sz w:val="24"/>
          <w:szCs w:val="24"/>
        </w:rPr>
        <w:t xml:space="preserve"> or other qualified parties</w:t>
      </w:r>
      <w:r>
        <w:rPr>
          <w:rFonts w:ascii="Times New Roman" w:hAnsi="Times New Roman" w:cs="Times New Roman"/>
          <w:color w:val="26282A"/>
          <w:sz w:val="24"/>
          <w:szCs w:val="24"/>
        </w:rPr>
        <w:t xml:space="preserve"> to assist </w:t>
      </w:r>
      <w:r w:rsidR="00A11BA4">
        <w:rPr>
          <w:rFonts w:ascii="Times New Roman" w:hAnsi="Times New Roman" w:cs="Times New Roman"/>
          <w:color w:val="26282A"/>
          <w:sz w:val="24"/>
          <w:szCs w:val="24"/>
        </w:rPr>
        <w:t xml:space="preserve">with </w:t>
      </w:r>
      <w:r>
        <w:rPr>
          <w:rFonts w:ascii="Times New Roman" w:hAnsi="Times New Roman" w:cs="Times New Roman"/>
          <w:color w:val="26282A"/>
          <w:sz w:val="24"/>
          <w:szCs w:val="24"/>
        </w:rPr>
        <w:t>the</w:t>
      </w:r>
      <w:r w:rsidR="00DA6559">
        <w:rPr>
          <w:rFonts w:ascii="Times New Roman" w:hAnsi="Times New Roman" w:cs="Times New Roman"/>
          <w:color w:val="26282A"/>
          <w:sz w:val="24"/>
          <w:szCs w:val="24"/>
        </w:rPr>
        <w:t xml:space="preserve"> diagnostic,</w:t>
      </w:r>
      <w:r>
        <w:rPr>
          <w:rFonts w:ascii="Times New Roman" w:hAnsi="Times New Roman" w:cs="Times New Roman"/>
          <w:color w:val="26282A"/>
          <w:sz w:val="24"/>
          <w:szCs w:val="24"/>
        </w:rPr>
        <w:t xml:space="preserve"> </w:t>
      </w:r>
      <w:r w:rsidR="00DA6559">
        <w:rPr>
          <w:rFonts w:ascii="Times New Roman" w:hAnsi="Times New Roman" w:cs="Times New Roman"/>
          <w:color w:val="26282A"/>
          <w:sz w:val="24"/>
          <w:szCs w:val="24"/>
        </w:rPr>
        <w:t>histopathol</w:t>
      </w:r>
      <w:r w:rsidR="0018786A">
        <w:rPr>
          <w:rFonts w:ascii="Times New Roman" w:hAnsi="Times New Roman" w:cs="Times New Roman"/>
          <w:color w:val="26282A"/>
          <w:sz w:val="24"/>
          <w:szCs w:val="24"/>
        </w:rPr>
        <w:t>og</w:t>
      </w:r>
      <w:r w:rsidR="00DA6559">
        <w:rPr>
          <w:rFonts w:ascii="Times New Roman" w:hAnsi="Times New Roman" w:cs="Times New Roman"/>
          <w:color w:val="26282A"/>
          <w:sz w:val="24"/>
          <w:szCs w:val="24"/>
        </w:rPr>
        <w:t xml:space="preserve">y, </w:t>
      </w:r>
      <w:r w:rsidR="00FA2013">
        <w:rPr>
          <w:rFonts w:ascii="Times New Roman" w:hAnsi="Times New Roman" w:cs="Times New Roman"/>
          <w:color w:val="26282A"/>
          <w:sz w:val="24"/>
          <w:szCs w:val="24"/>
        </w:rPr>
        <w:t>epidemiological</w:t>
      </w:r>
      <w:r w:rsidR="005A4165">
        <w:rPr>
          <w:rFonts w:ascii="Times New Roman" w:hAnsi="Times New Roman" w:cs="Times New Roman"/>
          <w:color w:val="26282A"/>
          <w:sz w:val="24"/>
          <w:szCs w:val="24"/>
        </w:rPr>
        <w:t>,</w:t>
      </w:r>
      <w:r w:rsidR="00FA2013">
        <w:rPr>
          <w:rFonts w:ascii="Times New Roman" w:hAnsi="Times New Roman" w:cs="Times New Roman"/>
          <w:color w:val="26282A"/>
          <w:sz w:val="24"/>
          <w:szCs w:val="24"/>
        </w:rPr>
        <w:t xml:space="preserve"> </w:t>
      </w:r>
      <w:r w:rsidR="00A11BA4">
        <w:rPr>
          <w:rFonts w:ascii="Times New Roman" w:hAnsi="Times New Roman" w:cs="Times New Roman"/>
          <w:color w:val="26282A"/>
          <w:sz w:val="24"/>
          <w:szCs w:val="24"/>
        </w:rPr>
        <w:t xml:space="preserve">statistical analysis </w:t>
      </w:r>
      <w:r w:rsidR="005A4165">
        <w:rPr>
          <w:rFonts w:ascii="Times New Roman" w:hAnsi="Times New Roman" w:cs="Times New Roman"/>
          <w:color w:val="26282A"/>
          <w:sz w:val="24"/>
          <w:szCs w:val="24"/>
        </w:rPr>
        <w:t xml:space="preserve">and other </w:t>
      </w:r>
      <w:r w:rsidR="00A11BA4">
        <w:rPr>
          <w:rFonts w:ascii="Times New Roman" w:hAnsi="Times New Roman" w:cs="Times New Roman"/>
          <w:color w:val="26282A"/>
          <w:sz w:val="24"/>
          <w:szCs w:val="24"/>
        </w:rPr>
        <w:t>components</w:t>
      </w:r>
      <w:r w:rsidR="00C6052F">
        <w:rPr>
          <w:rFonts w:ascii="Times New Roman" w:hAnsi="Times New Roman" w:cs="Times New Roman"/>
          <w:color w:val="26282A"/>
          <w:sz w:val="24"/>
          <w:szCs w:val="24"/>
        </w:rPr>
        <w:t>,</w:t>
      </w:r>
      <w:r w:rsidR="00A11BA4">
        <w:rPr>
          <w:rFonts w:ascii="Times New Roman" w:hAnsi="Times New Roman" w:cs="Times New Roman"/>
          <w:color w:val="26282A"/>
          <w:sz w:val="24"/>
          <w:szCs w:val="24"/>
        </w:rPr>
        <w:t xml:space="preserve"> </w:t>
      </w:r>
      <w:r w:rsidR="00462BE6">
        <w:rPr>
          <w:rFonts w:ascii="Times New Roman" w:hAnsi="Times New Roman" w:cs="Times New Roman"/>
          <w:color w:val="26282A"/>
          <w:sz w:val="24"/>
          <w:szCs w:val="24"/>
        </w:rPr>
        <w:t>as needed</w:t>
      </w:r>
      <w:r w:rsidR="00C6052F">
        <w:rPr>
          <w:rFonts w:ascii="Times New Roman" w:hAnsi="Times New Roman" w:cs="Times New Roman"/>
          <w:color w:val="26282A"/>
          <w:sz w:val="24"/>
          <w:szCs w:val="24"/>
        </w:rPr>
        <w:t>,</w:t>
      </w:r>
      <w:r w:rsidR="00462BE6">
        <w:rPr>
          <w:rFonts w:ascii="Times New Roman" w:hAnsi="Times New Roman" w:cs="Times New Roman"/>
          <w:color w:val="26282A"/>
          <w:sz w:val="24"/>
          <w:szCs w:val="24"/>
        </w:rPr>
        <w:t xml:space="preserve"> to complete the study</w:t>
      </w:r>
      <w:r>
        <w:rPr>
          <w:rFonts w:ascii="Times New Roman" w:hAnsi="Times New Roman" w:cs="Times New Roman"/>
          <w:color w:val="26282A"/>
          <w:sz w:val="24"/>
          <w:szCs w:val="24"/>
        </w:rPr>
        <w:t>.</w:t>
      </w:r>
    </w:p>
    <w:p w14:paraId="73C59704" w14:textId="77777777" w:rsidR="00081FF1" w:rsidRPr="00081FF1" w:rsidRDefault="00081FF1" w:rsidP="0005576B">
      <w:pPr>
        <w:autoSpaceDE w:val="0"/>
        <w:autoSpaceDN w:val="0"/>
        <w:adjustRightInd w:val="0"/>
        <w:spacing w:after="120"/>
        <w:jc w:val="center"/>
        <w:rPr>
          <w:rFonts w:ascii="Times New Roman" w:hAnsi="Times New Roman" w:cs="Times New Roman"/>
          <w:b/>
          <w:bCs/>
          <w:sz w:val="24"/>
          <w:szCs w:val="24"/>
        </w:rPr>
      </w:pPr>
      <w:r w:rsidRPr="00081FF1">
        <w:rPr>
          <w:rFonts w:ascii="Times New Roman" w:hAnsi="Times New Roman" w:cs="Times New Roman"/>
          <w:b/>
          <w:bCs/>
          <w:sz w:val="24"/>
          <w:szCs w:val="24"/>
        </w:rPr>
        <w:t>Study Participants</w:t>
      </w:r>
    </w:p>
    <w:p w14:paraId="7E3F6391" w14:textId="77777777" w:rsidR="00081FF1" w:rsidRDefault="00081FF1" w:rsidP="0005576B">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Committee has </w:t>
      </w:r>
      <w:r w:rsidR="008E2616">
        <w:rPr>
          <w:rFonts w:ascii="Times New Roman" w:hAnsi="Times New Roman" w:cs="Times New Roman"/>
          <w:sz w:val="24"/>
          <w:szCs w:val="24"/>
        </w:rPr>
        <w:t xml:space="preserve">established certain </w:t>
      </w:r>
      <w:r>
        <w:rPr>
          <w:rFonts w:ascii="Times New Roman" w:hAnsi="Times New Roman" w:cs="Times New Roman"/>
          <w:sz w:val="24"/>
          <w:szCs w:val="24"/>
        </w:rPr>
        <w:t xml:space="preserve">goals and requirements related to the study participants.  </w:t>
      </w:r>
      <w:r w:rsidR="00986D00">
        <w:rPr>
          <w:rFonts w:ascii="Times New Roman" w:hAnsi="Times New Roman" w:cs="Times New Roman"/>
          <w:sz w:val="24"/>
          <w:szCs w:val="24"/>
        </w:rPr>
        <w:t>At this time, these goals and requirements are as follows</w:t>
      </w:r>
      <w:r>
        <w:rPr>
          <w:rFonts w:ascii="Times New Roman" w:hAnsi="Times New Roman" w:cs="Times New Roman"/>
          <w:sz w:val="24"/>
          <w:szCs w:val="24"/>
        </w:rPr>
        <w:t>:</w:t>
      </w:r>
    </w:p>
    <w:p w14:paraId="60DBC043" w14:textId="77777777" w:rsidR="00081FF1" w:rsidRDefault="00081FF1" w:rsidP="0005576B">
      <w:pPr>
        <w:autoSpaceDE w:val="0"/>
        <w:autoSpaceDN w:val="0"/>
        <w:adjustRightInd w:val="0"/>
        <w:spacing w:after="0"/>
        <w:ind w:firstLine="720"/>
        <w:jc w:val="both"/>
        <w:rPr>
          <w:rFonts w:ascii="Times New Roman" w:hAnsi="Times New Roman" w:cs="Times New Roman"/>
          <w:sz w:val="24"/>
          <w:szCs w:val="24"/>
        </w:rPr>
      </w:pPr>
    </w:p>
    <w:p w14:paraId="696BBDA7" w14:textId="77777777" w:rsidR="001847A3" w:rsidRDefault="001847A3" w:rsidP="0005576B">
      <w:pPr>
        <w:pStyle w:val="ListParagraph"/>
        <w:numPr>
          <w:ilvl w:val="0"/>
          <w:numId w:val="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 minimum of fifty (50) participating farms will be included in the study.  (</w:t>
      </w:r>
      <w:r w:rsidR="005066DC">
        <w:rPr>
          <w:rFonts w:ascii="Times New Roman" w:hAnsi="Times New Roman" w:cs="Times New Roman"/>
          <w:sz w:val="24"/>
          <w:szCs w:val="24"/>
        </w:rPr>
        <w:t>The Committee</w:t>
      </w:r>
      <w:r>
        <w:rPr>
          <w:rFonts w:ascii="Times New Roman" w:hAnsi="Times New Roman" w:cs="Times New Roman"/>
          <w:sz w:val="24"/>
          <w:szCs w:val="24"/>
        </w:rPr>
        <w:t xml:space="preserve"> hopes that the number of farms that actually participate in the study will be 100 or more farms.)</w:t>
      </w:r>
    </w:p>
    <w:p w14:paraId="65579E69" w14:textId="77777777" w:rsidR="001847A3" w:rsidRPr="0005576B" w:rsidRDefault="0005576B" w:rsidP="0005576B">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5576B">
        <w:rPr>
          <w:rFonts w:ascii="Times New Roman" w:hAnsi="Times New Roman" w:cs="Times New Roman"/>
          <w:color w:val="1D2228"/>
          <w:sz w:val="24"/>
          <w:szCs w:val="24"/>
          <w:shd w:val="clear" w:color="auto" w:fill="FFFFFF"/>
        </w:rPr>
        <w:t>The goal will be that participant farms will have a minimum of four (4) wethered packgoats when the study begins.  In order to ensure a geographically diverse group of participant farms and in order to ensure the desired number of wethered goats are includ</w:t>
      </w:r>
      <w:r>
        <w:rPr>
          <w:rFonts w:ascii="Times New Roman" w:hAnsi="Times New Roman" w:cs="Times New Roman"/>
          <w:color w:val="1D2228"/>
          <w:sz w:val="24"/>
          <w:szCs w:val="24"/>
          <w:shd w:val="clear" w:color="auto" w:fill="FFFFFF"/>
        </w:rPr>
        <w:t xml:space="preserve">ed in the study, the Committee, at its discretion, </w:t>
      </w:r>
      <w:r w:rsidRPr="0005576B">
        <w:rPr>
          <w:rFonts w:ascii="Times New Roman" w:hAnsi="Times New Roman" w:cs="Times New Roman"/>
          <w:color w:val="1D2228"/>
          <w:sz w:val="24"/>
          <w:szCs w:val="24"/>
          <w:shd w:val="clear" w:color="auto" w:fill="FFFFFF"/>
        </w:rPr>
        <w:t xml:space="preserve">may allow participant farms with less than four (4) but at least two (2) wethered goats in the study.  It is estimated the actual </w:t>
      </w:r>
      <w:r>
        <w:rPr>
          <w:rFonts w:ascii="Times New Roman" w:hAnsi="Times New Roman" w:cs="Times New Roman"/>
          <w:color w:val="1D2228"/>
          <w:sz w:val="24"/>
          <w:szCs w:val="24"/>
          <w:shd w:val="clear" w:color="auto" w:fill="FFFFFF"/>
        </w:rPr>
        <w:t xml:space="preserve">average </w:t>
      </w:r>
      <w:r w:rsidRPr="0005576B">
        <w:rPr>
          <w:rFonts w:ascii="Times New Roman" w:hAnsi="Times New Roman" w:cs="Times New Roman"/>
          <w:color w:val="1D2228"/>
          <w:sz w:val="24"/>
          <w:szCs w:val="24"/>
          <w:shd w:val="clear" w:color="auto" w:fill="FFFFFF"/>
        </w:rPr>
        <w:t xml:space="preserve">number of wethered goats on each participating farm will </w:t>
      </w:r>
      <w:r>
        <w:rPr>
          <w:rFonts w:ascii="Times New Roman" w:hAnsi="Times New Roman" w:cs="Times New Roman"/>
          <w:color w:val="1D2228"/>
          <w:sz w:val="24"/>
          <w:szCs w:val="24"/>
          <w:shd w:val="clear" w:color="auto" w:fill="FFFFFF"/>
        </w:rPr>
        <w:t xml:space="preserve">be </w:t>
      </w:r>
      <w:r w:rsidRPr="0005576B">
        <w:rPr>
          <w:rFonts w:ascii="Times New Roman" w:hAnsi="Times New Roman" w:cs="Times New Roman"/>
          <w:color w:val="1D2228"/>
          <w:sz w:val="24"/>
          <w:szCs w:val="24"/>
          <w:shd w:val="clear" w:color="auto" w:fill="FFFFFF"/>
        </w:rPr>
        <w:t xml:space="preserve">six </w:t>
      </w:r>
      <w:r>
        <w:rPr>
          <w:rFonts w:ascii="Times New Roman" w:hAnsi="Times New Roman" w:cs="Times New Roman"/>
          <w:color w:val="1D2228"/>
          <w:sz w:val="24"/>
          <w:szCs w:val="24"/>
          <w:shd w:val="clear" w:color="auto" w:fill="FFFFFF"/>
        </w:rPr>
        <w:t xml:space="preserve">(6) </w:t>
      </w:r>
      <w:r w:rsidRPr="0005576B">
        <w:rPr>
          <w:rFonts w:ascii="Times New Roman" w:hAnsi="Times New Roman" w:cs="Times New Roman"/>
          <w:color w:val="1D2228"/>
          <w:sz w:val="24"/>
          <w:szCs w:val="24"/>
          <w:shd w:val="clear" w:color="auto" w:fill="FFFFFF"/>
        </w:rPr>
        <w:t>wethered goats.  Participating farms may include intact male goat kids that will be castrated by the time the goat reaches one (1) year of age or within one (1) year of the date the study begins, whichever is </w:t>
      </w:r>
      <w:r w:rsidRPr="0005576B">
        <w:rPr>
          <w:rFonts w:ascii="Times New Roman" w:hAnsi="Times New Roman" w:cs="Times New Roman"/>
          <w:color w:val="1D2228"/>
          <w:sz w:val="24"/>
          <w:szCs w:val="24"/>
          <w:u w:val="single"/>
          <w:shd w:val="clear" w:color="auto" w:fill="FFFFFF"/>
        </w:rPr>
        <w:t>later</w:t>
      </w:r>
      <w:r w:rsidRPr="0005576B">
        <w:rPr>
          <w:rFonts w:ascii="Times New Roman" w:hAnsi="Times New Roman" w:cs="Times New Roman"/>
          <w:color w:val="1D2228"/>
          <w:sz w:val="24"/>
          <w:szCs w:val="24"/>
          <w:shd w:val="clear" w:color="auto" w:fill="FFFFFF"/>
        </w:rPr>
        <w:t>.</w:t>
      </w:r>
    </w:p>
    <w:p w14:paraId="6D650DD0" w14:textId="77777777" w:rsidR="00250BED" w:rsidRDefault="00646207" w:rsidP="0005576B">
      <w:pPr>
        <w:pStyle w:val="ListParagraph"/>
        <w:numPr>
          <w:ilvl w:val="0"/>
          <w:numId w:val="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w:t>
      </w:r>
      <w:r w:rsidR="00307A51">
        <w:rPr>
          <w:rFonts w:ascii="Times New Roman" w:hAnsi="Times New Roman" w:cs="Times New Roman"/>
          <w:sz w:val="24"/>
          <w:szCs w:val="24"/>
        </w:rPr>
        <w:t>t a</w:t>
      </w:r>
      <w:r>
        <w:rPr>
          <w:rFonts w:ascii="Times New Roman" w:hAnsi="Times New Roman" w:cs="Times New Roman"/>
          <w:sz w:val="24"/>
          <w:szCs w:val="24"/>
        </w:rPr>
        <w:t xml:space="preserve"> minimum </w:t>
      </w:r>
      <w:r w:rsidR="00307A51">
        <w:rPr>
          <w:rFonts w:ascii="Times New Roman" w:hAnsi="Times New Roman" w:cs="Times New Roman"/>
          <w:sz w:val="24"/>
          <w:szCs w:val="24"/>
        </w:rPr>
        <w:t xml:space="preserve">it is expected that </w:t>
      </w:r>
      <w:r>
        <w:rPr>
          <w:rFonts w:ascii="Times New Roman" w:hAnsi="Times New Roman" w:cs="Times New Roman"/>
          <w:sz w:val="24"/>
          <w:szCs w:val="24"/>
        </w:rPr>
        <w:t xml:space="preserve">participating farms </w:t>
      </w:r>
      <w:r w:rsidR="00307A51">
        <w:rPr>
          <w:rFonts w:ascii="Times New Roman" w:hAnsi="Times New Roman" w:cs="Times New Roman"/>
          <w:sz w:val="24"/>
          <w:szCs w:val="24"/>
        </w:rPr>
        <w:t xml:space="preserve">will be </w:t>
      </w:r>
      <w:r>
        <w:rPr>
          <w:rFonts w:ascii="Times New Roman" w:hAnsi="Times New Roman" w:cs="Times New Roman"/>
          <w:sz w:val="24"/>
          <w:szCs w:val="24"/>
        </w:rPr>
        <w:t>located in Washington, Oregon, California, Idaho, Nevada, Utah, Arizona, Montana, Wyoming, Colorado, and New Mexico.  Additional states</w:t>
      </w:r>
      <w:r w:rsidR="00C6052F">
        <w:rPr>
          <w:rFonts w:ascii="Times New Roman" w:hAnsi="Times New Roman" w:cs="Times New Roman"/>
          <w:sz w:val="24"/>
          <w:szCs w:val="24"/>
        </w:rPr>
        <w:t>,</w:t>
      </w:r>
      <w:r>
        <w:rPr>
          <w:rFonts w:ascii="Times New Roman" w:hAnsi="Times New Roman" w:cs="Times New Roman"/>
          <w:sz w:val="24"/>
          <w:szCs w:val="24"/>
        </w:rPr>
        <w:t xml:space="preserve"> with NAPgA members </w:t>
      </w:r>
      <w:r w:rsidR="00C6052F">
        <w:rPr>
          <w:rFonts w:ascii="Times New Roman" w:hAnsi="Times New Roman" w:cs="Times New Roman"/>
          <w:sz w:val="24"/>
          <w:szCs w:val="24"/>
        </w:rPr>
        <w:t xml:space="preserve">who own a sufficient number of goats to participate in the study, </w:t>
      </w:r>
      <w:r>
        <w:rPr>
          <w:rFonts w:ascii="Times New Roman" w:hAnsi="Times New Roman" w:cs="Times New Roman"/>
          <w:sz w:val="24"/>
          <w:szCs w:val="24"/>
        </w:rPr>
        <w:t xml:space="preserve">are </w:t>
      </w:r>
      <w:r w:rsidR="00250BED">
        <w:rPr>
          <w:rFonts w:ascii="Times New Roman" w:hAnsi="Times New Roman" w:cs="Times New Roman"/>
          <w:sz w:val="24"/>
          <w:szCs w:val="24"/>
        </w:rPr>
        <w:t xml:space="preserve">also expected to be </w:t>
      </w:r>
      <w:r w:rsidR="005066DC">
        <w:rPr>
          <w:rFonts w:ascii="Times New Roman" w:hAnsi="Times New Roman" w:cs="Times New Roman"/>
          <w:sz w:val="24"/>
          <w:szCs w:val="24"/>
        </w:rPr>
        <w:t xml:space="preserve">represented </w:t>
      </w:r>
      <w:r w:rsidR="00250BED">
        <w:rPr>
          <w:rFonts w:ascii="Times New Roman" w:hAnsi="Times New Roman" w:cs="Times New Roman"/>
          <w:sz w:val="24"/>
          <w:szCs w:val="24"/>
        </w:rPr>
        <w:t>in the study</w:t>
      </w:r>
      <w:r w:rsidR="00C072E0">
        <w:rPr>
          <w:rFonts w:ascii="Times New Roman" w:hAnsi="Times New Roman" w:cs="Times New Roman"/>
          <w:sz w:val="24"/>
          <w:szCs w:val="24"/>
        </w:rPr>
        <w:t>.</w:t>
      </w:r>
    </w:p>
    <w:p w14:paraId="58CFE570" w14:textId="77777777" w:rsidR="00250BED" w:rsidRDefault="00250BED" w:rsidP="0005576B">
      <w:pPr>
        <w:pStyle w:val="ListParagraph"/>
        <w:numPr>
          <w:ilvl w:val="0"/>
          <w:numId w:val="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A minimum of </w:t>
      </w:r>
      <w:r w:rsidR="000452FF">
        <w:rPr>
          <w:rFonts w:ascii="Times New Roman" w:hAnsi="Times New Roman" w:cs="Times New Roman"/>
          <w:sz w:val="24"/>
          <w:szCs w:val="24"/>
        </w:rPr>
        <w:t>300</w:t>
      </w:r>
      <w:r w:rsidR="00081FF1" w:rsidRPr="00081FF1">
        <w:rPr>
          <w:rFonts w:ascii="Times New Roman" w:hAnsi="Times New Roman" w:cs="Times New Roman"/>
          <w:sz w:val="24"/>
          <w:szCs w:val="24"/>
        </w:rPr>
        <w:t xml:space="preserve"> </w:t>
      </w:r>
      <w:r>
        <w:rPr>
          <w:rFonts w:ascii="Times New Roman" w:hAnsi="Times New Roman" w:cs="Times New Roman"/>
          <w:sz w:val="24"/>
          <w:szCs w:val="24"/>
        </w:rPr>
        <w:t xml:space="preserve">wethered goats will be included in the study.  It is anticipated the </w:t>
      </w:r>
      <w:r w:rsidR="00540F73">
        <w:rPr>
          <w:rFonts w:ascii="Times New Roman" w:hAnsi="Times New Roman" w:cs="Times New Roman"/>
          <w:sz w:val="24"/>
          <w:szCs w:val="24"/>
        </w:rPr>
        <w:t xml:space="preserve">actual </w:t>
      </w:r>
      <w:r>
        <w:rPr>
          <w:rFonts w:ascii="Times New Roman" w:hAnsi="Times New Roman" w:cs="Times New Roman"/>
          <w:sz w:val="24"/>
          <w:szCs w:val="24"/>
        </w:rPr>
        <w:t xml:space="preserve">number of wethered goats included in the study will exceed </w:t>
      </w:r>
      <w:r w:rsidR="000452FF">
        <w:rPr>
          <w:rFonts w:ascii="Times New Roman" w:hAnsi="Times New Roman" w:cs="Times New Roman"/>
          <w:sz w:val="24"/>
          <w:szCs w:val="24"/>
        </w:rPr>
        <w:t>600</w:t>
      </w:r>
      <w:r>
        <w:rPr>
          <w:rFonts w:ascii="Times New Roman" w:hAnsi="Times New Roman" w:cs="Times New Roman"/>
          <w:sz w:val="24"/>
          <w:szCs w:val="24"/>
        </w:rPr>
        <w:t xml:space="preserve">. </w:t>
      </w:r>
    </w:p>
    <w:p w14:paraId="3AA1E3B6" w14:textId="77777777" w:rsidR="005066DC" w:rsidRDefault="00250BED" w:rsidP="0005576B">
      <w:pPr>
        <w:pStyle w:val="ListParagraph"/>
        <w:numPr>
          <w:ilvl w:val="0"/>
          <w:numId w:val="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5066DC">
        <w:rPr>
          <w:rFonts w:ascii="Times New Roman" w:hAnsi="Times New Roman" w:cs="Times New Roman"/>
          <w:sz w:val="24"/>
          <w:szCs w:val="24"/>
        </w:rPr>
        <w:t xml:space="preserve">initial length of the study will be 3 years at which time a </w:t>
      </w:r>
      <w:r w:rsidR="00D67B1B">
        <w:rPr>
          <w:rFonts w:ascii="Times New Roman" w:hAnsi="Times New Roman" w:cs="Times New Roman"/>
          <w:sz w:val="24"/>
          <w:szCs w:val="24"/>
        </w:rPr>
        <w:t>complete</w:t>
      </w:r>
      <w:r w:rsidR="005066DC">
        <w:rPr>
          <w:rFonts w:ascii="Times New Roman" w:hAnsi="Times New Roman" w:cs="Times New Roman"/>
          <w:sz w:val="24"/>
          <w:szCs w:val="24"/>
        </w:rPr>
        <w:t xml:space="preserve"> research report will be prepared.  It is hoped that the study will then continue for one or more additional </w:t>
      </w:r>
      <w:r w:rsidR="00874F67">
        <w:rPr>
          <w:rFonts w:ascii="Times New Roman" w:hAnsi="Times New Roman" w:cs="Times New Roman"/>
          <w:sz w:val="24"/>
          <w:szCs w:val="24"/>
        </w:rPr>
        <w:t>3-year</w:t>
      </w:r>
      <w:r w:rsidR="005066DC">
        <w:rPr>
          <w:rFonts w:ascii="Times New Roman" w:hAnsi="Times New Roman" w:cs="Times New Roman"/>
          <w:sz w:val="24"/>
          <w:szCs w:val="24"/>
        </w:rPr>
        <w:t xml:space="preserve"> period(s) with research reports being prepared at the end of each such period.  </w:t>
      </w:r>
    </w:p>
    <w:p w14:paraId="6FA997C7" w14:textId="77777777" w:rsidR="00986D00" w:rsidRDefault="005066DC" w:rsidP="0005576B">
      <w:pPr>
        <w:pStyle w:val="ListParagraph"/>
        <w:numPr>
          <w:ilvl w:val="0"/>
          <w:numId w:val="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Participating farms will be required</w:t>
      </w:r>
      <w:r w:rsidR="00986D00">
        <w:rPr>
          <w:rFonts w:ascii="Times New Roman" w:hAnsi="Times New Roman" w:cs="Times New Roman"/>
          <w:sz w:val="24"/>
          <w:szCs w:val="24"/>
        </w:rPr>
        <w:t xml:space="preserve"> to be members of NAPgA.</w:t>
      </w:r>
    </w:p>
    <w:p w14:paraId="5830A541" w14:textId="77777777" w:rsidR="00E75D2F" w:rsidRDefault="00E75D2F" w:rsidP="0005576B">
      <w:pPr>
        <w:spacing w:after="160" w:line="259" w:lineRule="auto"/>
        <w:jc w:val="both"/>
        <w:rPr>
          <w:rFonts w:ascii="Times New Roman" w:hAnsi="Times New Roman" w:cs="Times New Roman"/>
          <w:b/>
          <w:bCs/>
          <w:sz w:val="24"/>
          <w:szCs w:val="24"/>
        </w:rPr>
      </w:pPr>
      <w:r>
        <w:rPr>
          <w:rFonts w:ascii="Times New Roman" w:hAnsi="Times New Roman" w:cs="Times New Roman"/>
          <w:b/>
          <w:bCs/>
          <w:sz w:val="24"/>
          <w:szCs w:val="24"/>
        </w:rPr>
        <w:br w:type="page"/>
      </w:r>
    </w:p>
    <w:p w14:paraId="5D40811C" w14:textId="77777777" w:rsidR="000D64D7" w:rsidRDefault="00974F7E" w:rsidP="000E7A3D">
      <w:pPr>
        <w:pStyle w:val="PlainText"/>
        <w:spacing w:after="120"/>
        <w:jc w:val="center"/>
        <w:rPr>
          <w:rFonts w:ascii="Times New Roman" w:hAnsi="Times New Roman" w:cs="Times New Roman"/>
          <w:sz w:val="24"/>
          <w:szCs w:val="24"/>
        </w:rPr>
      </w:pPr>
      <w:r>
        <w:rPr>
          <w:rFonts w:ascii="Times New Roman" w:hAnsi="Times New Roman" w:cs="Times New Roman"/>
          <w:b/>
          <w:bCs/>
          <w:sz w:val="24"/>
          <w:szCs w:val="24"/>
        </w:rPr>
        <w:lastRenderedPageBreak/>
        <w:t>Funding</w:t>
      </w:r>
    </w:p>
    <w:p w14:paraId="0EA5E87D" w14:textId="77777777" w:rsidR="000D64D7" w:rsidRDefault="00EC0AE2" w:rsidP="00540F73">
      <w:pPr>
        <w:ind w:firstLine="720"/>
        <w:jc w:val="both"/>
        <w:rPr>
          <w:rFonts w:ascii="Times New Roman" w:hAnsi="Times New Roman" w:cs="Times New Roman"/>
          <w:sz w:val="24"/>
          <w:szCs w:val="24"/>
        </w:rPr>
      </w:pPr>
      <w:r>
        <w:rPr>
          <w:rFonts w:ascii="Times New Roman" w:hAnsi="Times New Roman" w:cs="Times New Roman"/>
          <w:sz w:val="24"/>
          <w:szCs w:val="24"/>
        </w:rPr>
        <w:t xml:space="preserve">During its November 2021 meeting of the Board of Directors, </w:t>
      </w:r>
      <w:r w:rsidR="00C03FFB">
        <w:rPr>
          <w:rFonts w:ascii="Times New Roman" w:hAnsi="Times New Roman" w:cs="Times New Roman"/>
          <w:sz w:val="24"/>
          <w:szCs w:val="24"/>
        </w:rPr>
        <w:t xml:space="preserve">NAPgA </w:t>
      </w:r>
      <w:r>
        <w:rPr>
          <w:rFonts w:ascii="Times New Roman" w:hAnsi="Times New Roman" w:cs="Times New Roman"/>
          <w:sz w:val="24"/>
          <w:szCs w:val="24"/>
        </w:rPr>
        <w:t xml:space="preserve">allocated a minimum of </w:t>
      </w:r>
      <w:r w:rsidR="00C03FFB">
        <w:rPr>
          <w:rFonts w:ascii="Times New Roman" w:hAnsi="Times New Roman" w:cs="Times New Roman"/>
          <w:sz w:val="24"/>
          <w:szCs w:val="24"/>
        </w:rPr>
        <w:t xml:space="preserve">$10,000 </w:t>
      </w:r>
      <w:r>
        <w:rPr>
          <w:rFonts w:ascii="Times New Roman" w:hAnsi="Times New Roman" w:cs="Times New Roman"/>
          <w:sz w:val="24"/>
          <w:szCs w:val="24"/>
        </w:rPr>
        <w:t xml:space="preserve">from a dedicated research fund (“The Carolyn Eddy Fund”) established by one of its founding members, the late Carolyn Eddy, in order to </w:t>
      </w:r>
      <w:r w:rsidR="00C03FFB">
        <w:rPr>
          <w:rFonts w:ascii="Times New Roman" w:hAnsi="Times New Roman" w:cs="Times New Roman"/>
          <w:sz w:val="24"/>
          <w:szCs w:val="24"/>
        </w:rPr>
        <w:t xml:space="preserve">begin this long-term study.  </w:t>
      </w:r>
      <w:r w:rsidR="00C6052F">
        <w:rPr>
          <w:rFonts w:ascii="Times New Roman" w:hAnsi="Times New Roman" w:cs="Times New Roman"/>
          <w:sz w:val="24"/>
          <w:szCs w:val="24"/>
        </w:rPr>
        <w:t>S</w:t>
      </w:r>
      <w:r w:rsidR="00796DB5">
        <w:rPr>
          <w:rFonts w:ascii="Times New Roman" w:hAnsi="Times New Roman" w:cs="Times New Roman"/>
          <w:sz w:val="24"/>
          <w:szCs w:val="24"/>
        </w:rPr>
        <w:t>ince the initial funding was allocated by NAPgA</w:t>
      </w:r>
      <w:r w:rsidR="00C6052F">
        <w:rPr>
          <w:rFonts w:ascii="Times New Roman" w:hAnsi="Times New Roman" w:cs="Times New Roman"/>
          <w:sz w:val="24"/>
          <w:szCs w:val="24"/>
        </w:rPr>
        <w:t xml:space="preserve"> two months ago</w:t>
      </w:r>
      <w:r w:rsidR="00796DB5">
        <w:rPr>
          <w:rFonts w:ascii="Times New Roman" w:hAnsi="Times New Roman" w:cs="Times New Roman"/>
          <w:sz w:val="24"/>
          <w:szCs w:val="24"/>
        </w:rPr>
        <w:t xml:space="preserve">, </w:t>
      </w:r>
      <w:r w:rsidR="004B7249">
        <w:rPr>
          <w:rFonts w:ascii="Times New Roman" w:hAnsi="Times New Roman" w:cs="Times New Roman"/>
          <w:sz w:val="24"/>
          <w:szCs w:val="24"/>
        </w:rPr>
        <w:t xml:space="preserve">an additional </w:t>
      </w:r>
      <w:r w:rsidR="00796DB5">
        <w:rPr>
          <w:rFonts w:ascii="Times New Roman" w:hAnsi="Times New Roman" w:cs="Times New Roman"/>
          <w:sz w:val="24"/>
          <w:szCs w:val="24"/>
        </w:rPr>
        <w:t xml:space="preserve">$10,000 has been donated to </w:t>
      </w:r>
      <w:r w:rsidR="004B7249">
        <w:rPr>
          <w:rFonts w:ascii="Times New Roman" w:hAnsi="Times New Roman" w:cs="Times New Roman"/>
          <w:sz w:val="24"/>
          <w:szCs w:val="24"/>
        </w:rPr>
        <w:t xml:space="preserve">NAPgA specifically for this </w:t>
      </w:r>
      <w:r w:rsidR="00796DB5">
        <w:rPr>
          <w:rFonts w:ascii="Times New Roman" w:hAnsi="Times New Roman" w:cs="Times New Roman"/>
          <w:sz w:val="24"/>
          <w:szCs w:val="24"/>
        </w:rPr>
        <w:t xml:space="preserve">study.  </w:t>
      </w:r>
      <w:r w:rsidR="00C072E0">
        <w:rPr>
          <w:rFonts w:ascii="Times New Roman" w:hAnsi="Times New Roman" w:cs="Times New Roman"/>
          <w:sz w:val="24"/>
          <w:szCs w:val="24"/>
        </w:rPr>
        <w:t>T</w:t>
      </w:r>
      <w:r w:rsidR="00796DB5">
        <w:rPr>
          <w:rFonts w:ascii="Times New Roman" w:hAnsi="Times New Roman" w:cs="Times New Roman"/>
          <w:sz w:val="24"/>
          <w:szCs w:val="24"/>
        </w:rPr>
        <w:t xml:space="preserve">he current </w:t>
      </w:r>
      <w:r w:rsidR="00A66091">
        <w:rPr>
          <w:rFonts w:ascii="Times New Roman" w:hAnsi="Times New Roman" w:cs="Times New Roman"/>
          <w:sz w:val="24"/>
          <w:szCs w:val="24"/>
        </w:rPr>
        <w:t xml:space="preserve">amount of cash on hand dedicated to the </w:t>
      </w:r>
      <w:r w:rsidR="00796DB5">
        <w:rPr>
          <w:rFonts w:ascii="Times New Roman" w:hAnsi="Times New Roman" w:cs="Times New Roman"/>
          <w:sz w:val="24"/>
          <w:szCs w:val="24"/>
        </w:rPr>
        <w:t xml:space="preserve">study </w:t>
      </w:r>
      <w:r w:rsidR="005A4165">
        <w:rPr>
          <w:rFonts w:ascii="Times New Roman" w:hAnsi="Times New Roman" w:cs="Times New Roman"/>
          <w:sz w:val="24"/>
          <w:szCs w:val="24"/>
        </w:rPr>
        <w:t>is</w:t>
      </w:r>
      <w:r w:rsidR="00796DB5">
        <w:rPr>
          <w:rFonts w:ascii="Times New Roman" w:hAnsi="Times New Roman" w:cs="Times New Roman"/>
          <w:sz w:val="24"/>
          <w:szCs w:val="24"/>
        </w:rPr>
        <w:t xml:space="preserve"> $20,000.  </w:t>
      </w:r>
      <w:r w:rsidR="00C03FFB">
        <w:rPr>
          <w:rFonts w:ascii="Times New Roman" w:hAnsi="Times New Roman" w:cs="Times New Roman"/>
          <w:sz w:val="24"/>
          <w:szCs w:val="24"/>
        </w:rPr>
        <w:t xml:space="preserve">NAPgA is willing to </w:t>
      </w:r>
      <w:r w:rsidR="00D67B1B">
        <w:rPr>
          <w:rFonts w:ascii="Times New Roman" w:hAnsi="Times New Roman" w:cs="Times New Roman"/>
          <w:sz w:val="24"/>
          <w:szCs w:val="24"/>
        </w:rPr>
        <w:t xml:space="preserve">allocate </w:t>
      </w:r>
      <w:r w:rsidR="00C03FFB">
        <w:rPr>
          <w:rFonts w:ascii="Times New Roman" w:hAnsi="Times New Roman" w:cs="Times New Roman"/>
          <w:sz w:val="24"/>
          <w:szCs w:val="24"/>
        </w:rPr>
        <w:t xml:space="preserve">additional funding, if needed, however </w:t>
      </w:r>
      <w:r w:rsidR="004B7249">
        <w:rPr>
          <w:rFonts w:ascii="Times New Roman" w:hAnsi="Times New Roman" w:cs="Times New Roman"/>
          <w:sz w:val="24"/>
          <w:szCs w:val="24"/>
        </w:rPr>
        <w:t>NAPgA and the Committee ar</w:t>
      </w:r>
      <w:r w:rsidR="00C03FFB">
        <w:rPr>
          <w:rFonts w:ascii="Times New Roman" w:hAnsi="Times New Roman" w:cs="Times New Roman"/>
          <w:sz w:val="24"/>
          <w:szCs w:val="24"/>
        </w:rPr>
        <w:t xml:space="preserve">e </w:t>
      </w:r>
      <w:r w:rsidR="00796DB5">
        <w:rPr>
          <w:rFonts w:ascii="Times New Roman" w:hAnsi="Times New Roman" w:cs="Times New Roman"/>
          <w:sz w:val="24"/>
          <w:szCs w:val="24"/>
        </w:rPr>
        <w:t xml:space="preserve">soliciting private and corporate donations, </w:t>
      </w:r>
      <w:r w:rsidR="00C261B2">
        <w:rPr>
          <w:rFonts w:ascii="Times New Roman" w:hAnsi="Times New Roman" w:cs="Times New Roman"/>
          <w:sz w:val="24"/>
          <w:szCs w:val="24"/>
        </w:rPr>
        <w:t>grants,</w:t>
      </w:r>
      <w:r w:rsidR="00C03FFB">
        <w:rPr>
          <w:rFonts w:ascii="Times New Roman" w:hAnsi="Times New Roman" w:cs="Times New Roman"/>
          <w:sz w:val="24"/>
          <w:szCs w:val="24"/>
        </w:rPr>
        <w:t xml:space="preserve"> and </w:t>
      </w:r>
      <w:r w:rsidR="00796DB5">
        <w:rPr>
          <w:rFonts w:ascii="Times New Roman" w:hAnsi="Times New Roman" w:cs="Times New Roman"/>
          <w:sz w:val="24"/>
          <w:szCs w:val="24"/>
        </w:rPr>
        <w:t xml:space="preserve">other </w:t>
      </w:r>
      <w:r w:rsidR="00C03FFB">
        <w:rPr>
          <w:rFonts w:ascii="Times New Roman" w:hAnsi="Times New Roman" w:cs="Times New Roman"/>
          <w:sz w:val="24"/>
          <w:szCs w:val="24"/>
        </w:rPr>
        <w:t xml:space="preserve">outside </w:t>
      </w:r>
      <w:r w:rsidR="00A66091">
        <w:rPr>
          <w:rFonts w:ascii="Times New Roman" w:hAnsi="Times New Roman" w:cs="Times New Roman"/>
          <w:sz w:val="24"/>
          <w:szCs w:val="24"/>
        </w:rPr>
        <w:t xml:space="preserve">financial assistance to fund </w:t>
      </w:r>
      <w:r w:rsidR="00C03FFB">
        <w:rPr>
          <w:rFonts w:ascii="Times New Roman" w:hAnsi="Times New Roman" w:cs="Times New Roman"/>
          <w:sz w:val="24"/>
          <w:szCs w:val="24"/>
        </w:rPr>
        <w:t xml:space="preserve">this study.  </w:t>
      </w:r>
    </w:p>
    <w:p w14:paraId="0DD4CAAC" w14:textId="77777777" w:rsidR="00986D00" w:rsidRDefault="00986D00" w:rsidP="000E7A3D">
      <w:pPr>
        <w:keepNext/>
        <w:spacing w:after="120"/>
        <w:ind w:firstLine="720"/>
        <w:jc w:val="center"/>
        <w:rPr>
          <w:rFonts w:ascii="Times New Roman" w:hAnsi="Times New Roman" w:cs="Times New Roman"/>
          <w:sz w:val="24"/>
          <w:szCs w:val="24"/>
        </w:rPr>
      </w:pPr>
      <w:r>
        <w:rPr>
          <w:rFonts w:ascii="Times New Roman" w:hAnsi="Times New Roman" w:cs="Times New Roman"/>
          <w:b/>
          <w:bCs/>
          <w:sz w:val="24"/>
          <w:szCs w:val="24"/>
        </w:rPr>
        <w:t>Anticipated (and Estimated) Costs of the Study</w:t>
      </w:r>
    </w:p>
    <w:p w14:paraId="376FD1FF" w14:textId="77777777" w:rsidR="00C03FFB" w:rsidRDefault="00EC4EB0" w:rsidP="00540F73">
      <w:pPr>
        <w:keepNext/>
        <w:ind w:firstLine="720"/>
        <w:jc w:val="both"/>
        <w:rPr>
          <w:rFonts w:ascii="Times New Roman" w:hAnsi="Times New Roman" w:cs="Times New Roman"/>
          <w:sz w:val="24"/>
          <w:szCs w:val="24"/>
        </w:rPr>
      </w:pPr>
      <w:r>
        <w:rPr>
          <w:rFonts w:ascii="Times New Roman" w:hAnsi="Times New Roman" w:cs="Times New Roman"/>
          <w:b/>
          <w:bCs/>
          <w:sz w:val="24"/>
          <w:szCs w:val="24"/>
          <w:u w:val="single"/>
        </w:rPr>
        <w:t>NAPgA’s Costs:</w:t>
      </w:r>
      <w:r>
        <w:rPr>
          <w:rFonts w:ascii="Times New Roman" w:hAnsi="Times New Roman" w:cs="Times New Roman"/>
          <w:sz w:val="24"/>
          <w:szCs w:val="24"/>
        </w:rPr>
        <w:t xml:space="preserve"> </w:t>
      </w:r>
      <w:r w:rsidR="00986D00">
        <w:rPr>
          <w:rFonts w:ascii="Times New Roman" w:hAnsi="Times New Roman" w:cs="Times New Roman"/>
          <w:sz w:val="24"/>
          <w:szCs w:val="24"/>
        </w:rPr>
        <w:t xml:space="preserve">The Committee intends to engage </w:t>
      </w:r>
      <w:r w:rsidR="00974F7E">
        <w:rPr>
          <w:rFonts w:ascii="Times New Roman" w:hAnsi="Times New Roman" w:cs="Times New Roman"/>
          <w:sz w:val="24"/>
          <w:szCs w:val="24"/>
        </w:rPr>
        <w:t>Ward Laboratories (</w:t>
      </w:r>
      <w:hyperlink r:id="rId8" w:history="1">
        <w:r w:rsidR="00974F7E" w:rsidRPr="00725A11">
          <w:rPr>
            <w:rStyle w:val="Hyperlink"/>
            <w:rFonts w:ascii="Times New Roman" w:hAnsi="Times New Roman" w:cs="Times New Roman"/>
            <w:sz w:val="24"/>
            <w:szCs w:val="24"/>
          </w:rPr>
          <w:t>www.wardlab.com</w:t>
        </w:r>
      </w:hyperlink>
      <w:r w:rsidR="00974F7E">
        <w:rPr>
          <w:rFonts w:ascii="Times New Roman" w:hAnsi="Times New Roman" w:cs="Times New Roman"/>
          <w:sz w:val="24"/>
          <w:szCs w:val="24"/>
        </w:rPr>
        <w:t xml:space="preserve">) located in Kearney, Nebraska to conduct initial hay/browse and water analysis for each participating farm as well as bi-annual hay/browse analysis and follow-up water analysis as needed if </w:t>
      </w:r>
      <w:r w:rsidR="007E09B3">
        <w:rPr>
          <w:rFonts w:ascii="Times New Roman" w:hAnsi="Times New Roman" w:cs="Times New Roman"/>
          <w:sz w:val="24"/>
          <w:szCs w:val="24"/>
        </w:rPr>
        <w:t xml:space="preserve">there is a change in a participating farms water source.  </w:t>
      </w:r>
      <w:r w:rsidR="00C03FFB">
        <w:rPr>
          <w:rFonts w:ascii="Times New Roman" w:hAnsi="Times New Roman" w:cs="Times New Roman"/>
          <w:sz w:val="24"/>
          <w:szCs w:val="24"/>
        </w:rPr>
        <w:t xml:space="preserve">Because </w:t>
      </w:r>
      <w:r w:rsidR="00986D00">
        <w:rPr>
          <w:rFonts w:ascii="Times New Roman" w:hAnsi="Times New Roman" w:cs="Times New Roman"/>
          <w:sz w:val="24"/>
          <w:szCs w:val="24"/>
        </w:rPr>
        <w:t xml:space="preserve">wethered goats of all ages, young and old, will be included in the study, </w:t>
      </w:r>
      <w:r w:rsidR="00C03FFB">
        <w:rPr>
          <w:rFonts w:ascii="Times New Roman" w:hAnsi="Times New Roman" w:cs="Times New Roman"/>
          <w:sz w:val="24"/>
          <w:szCs w:val="24"/>
        </w:rPr>
        <w:t xml:space="preserve">the </w:t>
      </w:r>
      <w:r w:rsidR="00986D00">
        <w:rPr>
          <w:rFonts w:ascii="Times New Roman" w:hAnsi="Times New Roman" w:cs="Times New Roman"/>
          <w:sz w:val="24"/>
          <w:szCs w:val="24"/>
        </w:rPr>
        <w:t>potential length of the study (minim</w:t>
      </w:r>
      <w:r w:rsidR="00F70004">
        <w:rPr>
          <w:rFonts w:ascii="Times New Roman" w:hAnsi="Times New Roman" w:cs="Times New Roman"/>
          <w:sz w:val="24"/>
          <w:szCs w:val="24"/>
        </w:rPr>
        <w:t>um</w:t>
      </w:r>
      <w:r w:rsidR="00986D00">
        <w:rPr>
          <w:rFonts w:ascii="Times New Roman" w:hAnsi="Times New Roman" w:cs="Times New Roman"/>
          <w:sz w:val="24"/>
          <w:szCs w:val="24"/>
        </w:rPr>
        <w:t xml:space="preserve"> of 3 </w:t>
      </w:r>
      <w:r w:rsidR="00F70004">
        <w:rPr>
          <w:rFonts w:ascii="Times New Roman" w:hAnsi="Times New Roman" w:cs="Times New Roman"/>
          <w:sz w:val="24"/>
          <w:szCs w:val="24"/>
        </w:rPr>
        <w:t>years up to as man</w:t>
      </w:r>
      <w:r w:rsidR="00986D00">
        <w:rPr>
          <w:rFonts w:ascii="Times New Roman" w:hAnsi="Times New Roman" w:cs="Times New Roman"/>
          <w:sz w:val="24"/>
          <w:szCs w:val="24"/>
        </w:rPr>
        <w:t xml:space="preserve">y as 9 years), the frequency and </w:t>
      </w:r>
      <w:r w:rsidR="00C03FFB">
        <w:rPr>
          <w:rFonts w:ascii="Times New Roman" w:hAnsi="Times New Roman" w:cs="Times New Roman"/>
          <w:sz w:val="24"/>
          <w:szCs w:val="24"/>
        </w:rPr>
        <w:t xml:space="preserve">level of mortality </w:t>
      </w:r>
      <w:r>
        <w:rPr>
          <w:rFonts w:ascii="Times New Roman" w:hAnsi="Times New Roman" w:cs="Times New Roman"/>
          <w:sz w:val="24"/>
          <w:szCs w:val="24"/>
        </w:rPr>
        <w:t>associated with urinary calculi, and the need to necropsy all goats that die during the study,</w:t>
      </w:r>
      <w:r w:rsidR="00C03FFB">
        <w:rPr>
          <w:rFonts w:ascii="Times New Roman" w:hAnsi="Times New Roman" w:cs="Times New Roman"/>
          <w:sz w:val="24"/>
          <w:szCs w:val="24"/>
        </w:rPr>
        <w:t xml:space="preserve"> </w:t>
      </w:r>
      <w:r w:rsidR="00F70004">
        <w:rPr>
          <w:rFonts w:ascii="Times New Roman" w:hAnsi="Times New Roman" w:cs="Times New Roman"/>
          <w:sz w:val="24"/>
          <w:szCs w:val="24"/>
        </w:rPr>
        <w:t xml:space="preserve">the Committee </w:t>
      </w:r>
      <w:r w:rsidR="00C03FFB">
        <w:rPr>
          <w:rFonts w:ascii="Times New Roman" w:hAnsi="Times New Roman" w:cs="Times New Roman"/>
          <w:sz w:val="24"/>
          <w:szCs w:val="24"/>
        </w:rPr>
        <w:t>anticipate</w:t>
      </w:r>
      <w:r w:rsidR="00F70004">
        <w:rPr>
          <w:rFonts w:ascii="Times New Roman" w:hAnsi="Times New Roman" w:cs="Times New Roman"/>
          <w:sz w:val="24"/>
          <w:szCs w:val="24"/>
        </w:rPr>
        <w:t>s</w:t>
      </w:r>
      <w:r w:rsidR="00C03FFB">
        <w:rPr>
          <w:rFonts w:ascii="Times New Roman" w:hAnsi="Times New Roman" w:cs="Times New Roman"/>
          <w:sz w:val="24"/>
          <w:szCs w:val="24"/>
        </w:rPr>
        <w:t xml:space="preserve"> </w:t>
      </w:r>
      <w:r w:rsidR="00986D00">
        <w:rPr>
          <w:rFonts w:ascii="Times New Roman" w:hAnsi="Times New Roman" w:cs="Times New Roman"/>
          <w:sz w:val="24"/>
          <w:szCs w:val="24"/>
        </w:rPr>
        <w:t xml:space="preserve">a significant </w:t>
      </w:r>
      <w:r>
        <w:rPr>
          <w:rFonts w:ascii="Times New Roman" w:hAnsi="Times New Roman" w:cs="Times New Roman"/>
          <w:sz w:val="24"/>
          <w:szCs w:val="24"/>
        </w:rPr>
        <w:t>number of</w:t>
      </w:r>
      <w:r w:rsidR="00C03FFB">
        <w:rPr>
          <w:rFonts w:ascii="Times New Roman" w:hAnsi="Times New Roman" w:cs="Times New Roman"/>
          <w:sz w:val="24"/>
          <w:szCs w:val="24"/>
        </w:rPr>
        <w:t xml:space="preserve"> necropsies will need to be performed</w:t>
      </w:r>
      <w:r w:rsidR="007E09B3">
        <w:rPr>
          <w:rFonts w:ascii="Times New Roman" w:hAnsi="Times New Roman" w:cs="Times New Roman"/>
          <w:sz w:val="24"/>
          <w:szCs w:val="24"/>
        </w:rPr>
        <w:t xml:space="preserve"> during the study</w:t>
      </w:r>
      <w:r w:rsidR="00C03FFB">
        <w:rPr>
          <w:rFonts w:ascii="Times New Roman" w:hAnsi="Times New Roman" w:cs="Times New Roman"/>
          <w:sz w:val="24"/>
          <w:szCs w:val="24"/>
        </w:rPr>
        <w:t xml:space="preserve">.  </w:t>
      </w:r>
      <w:r w:rsidR="007916B7">
        <w:rPr>
          <w:rFonts w:ascii="Times New Roman" w:hAnsi="Times New Roman" w:cs="Times New Roman"/>
          <w:sz w:val="24"/>
          <w:szCs w:val="24"/>
        </w:rPr>
        <w:t xml:space="preserve">In addition, all uroliths recovered from any </w:t>
      </w:r>
      <w:r w:rsidR="00AC5C29">
        <w:rPr>
          <w:rFonts w:ascii="Times New Roman" w:hAnsi="Times New Roman" w:cs="Times New Roman"/>
          <w:sz w:val="24"/>
          <w:szCs w:val="24"/>
        </w:rPr>
        <w:t>goats diagnosed, treated, and that survive treatment for urinary calculi as well as those that do not survive</w:t>
      </w:r>
      <w:r w:rsidR="007916B7">
        <w:rPr>
          <w:rFonts w:ascii="Times New Roman" w:hAnsi="Times New Roman" w:cs="Times New Roman"/>
          <w:sz w:val="24"/>
          <w:szCs w:val="24"/>
        </w:rPr>
        <w:t xml:space="preserve"> </w:t>
      </w:r>
      <w:r w:rsidR="00C6052F">
        <w:rPr>
          <w:rFonts w:ascii="Times New Roman" w:hAnsi="Times New Roman" w:cs="Times New Roman"/>
          <w:sz w:val="24"/>
          <w:szCs w:val="24"/>
        </w:rPr>
        <w:t xml:space="preserve">the term of the study </w:t>
      </w:r>
      <w:r w:rsidR="007916B7">
        <w:rPr>
          <w:rFonts w:ascii="Times New Roman" w:hAnsi="Times New Roman" w:cs="Times New Roman"/>
          <w:sz w:val="24"/>
          <w:szCs w:val="24"/>
        </w:rPr>
        <w:t xml:space="preserve">will be sent to the Minnesota Urolith Center for a complimentary analysis of the uroliths.  NAPgA will cover the shipping costs associated with submitting the uroliths for analysis.  </w:t>
      </w:r>
      <w:r w:rsidR="00C03FFB">
        <w:rPr>
          <w:rFonts w:ascii="Times New Roman" w:hAnsi="Times New Roman" w:cs="Times New Roman"/>
          <w:sz w:val="24"/>
          <w:szCs w:val="24"/>
        </w:rPr>
        <w:t xml:space="preserve">NAPgA </w:t>
      </w:r>
      <w:r w:rsidR="007E09B3">
        <w:rPr>
          <w:rFonts w:ascii="Times New Roman" w:hAnsi="Times New Roman" w:cs="Times New Roman"/>
          <w:sz w:val="24"/>
          <w:szCs w:val="24"/>
        </w:rPr>
        <w:t xml:space="preserve">intends to cover </w:t>
      </w:r>
      <w:r w:rsidR="00C03FFB">
        <w:rPr>
          <w:rFonts w:ascii="Times New Roman" w:hAnsi="Times New Roman" w:cs="Times New Roman"/>
          <w:sz w:val="24"/>
          <w:szCs w:val="24"/>
        </w:rPr>
        <w:t>a portion of the cost</w:t>
      </w:r>
      <w:r w:rsidR="007E09B3">
        <w:rPr>
          <w:rFonts w:ascii="Times New Roman" w:hAnsi="Times New Roman" w:cs="Times New Roman"/>
          <w:sz w:val="24"/>
          <w:szCs w:val="24"/>
        </w:rPr>
        <w:t xml:space="preserve">s to perform a </w:t>
      </w:r>
      <w:r w:rsidR="00C03FFB">
        <w:rPr>
          <w:rFonts w:ascii="Times New Roman" w:hAnsi="Times New Roman" w:cs="Times New Roman"/>
          <w:sz w:val="24"/>
          <w:szCs w:val="24"/>
        </w:rPr>
        <w:t xml:space="preserve">necropsy </w:t>
      </w:r>
      <w:r>
        <w:rPr>
          <w:rFonts w:ascii="Times New Roman" w:hAnsi="Times New Roman" w:cs="Times New Roman"/>
          <w:sz w:val="24"/>
          <w:szCs w:val="24"/>
        </w:rPr>
        <w:t xml:space="preserve">as well as </w:t>
      </w:r>
      <w:r w:rsidR="00C03FFB">
        <w:rPr>
          <w:rFonts w:ascii="Times New Roman" w:hAnsi="Times New Roman" w:cs="Times New Roman"/>
          <w:sz w:val="24"/>
          <w:szCs w:val="24"/>
        </w:rPr>
        <w:t xml:space="preserve">associated shipping </w:t>
      </w:r>
      <w:r>
        <w:rPr>
          <w:rFonts w:ascii="Times New Roman" w:hAnsi="Times New Roman" w:cs="Times New Roman"/>
          <w:sz w:val="24"/>
          <w:szCs w:val="24"/>
        </w:rPr>
        <w:t>and</w:t>
      </w:r>
      <w:r w:rsidR="007E09B3">
        <w:rPr>
          <w:rFonts w:ascii="Times New Roman" w:hAnsi="Times New Roman" w:cs="Times New Roman"/>
          <w:sz w:val="24"/>
          <w:szCs w:val="24"/>
        </w:rPr>
        <w:t xml:space="preserve"> </w:t>
      </w:r>
      <w:r w:rsidR="00C03FFB">
        <w:rPr>
          <w:rFonts w:ascii="Times New Roman" w:hAnsi="Times New Roman" w:cs="Times New Roman"/>
          <w:sz w:val="24"/>
          <w:szCs w:val="24"/>
        </w:rPr>
        <w:t>lab fees</w:t>
      </w:r>
      <w:r w:rsidR="007E09B3">
        <w:rPr>
          <w:rFonts w:ascii="Times New Roman" w:hAnsi="Times New Roman" w:cs="Times New Roman"/>
          <w:sz w:val="24"/>
          <w:szCs w:val="24"/>
        </w:rPr>
        <w:t>, for all goats that die during the study</w:t>
      </w:r>
      <w:r w:rsidR="00C03FFB">
        <w:rPr>
          <w:rFonts w:ascii="Times New Roman" w:hAnsi="Times New Roman" w:cs="Times New Roman"/>
          <w:sz w:val="24"/>
          <w:szCs w:val="24"/>
        </w:rPr>
        <w:t xml:space="preserve">.  The </w:t>
      </w:r>
      <w:r w:rsidR="007E09B3">
        <w:rPr>
          <w:rFonts w:ascii="Times New Roman" w:hAnsi="Times New Roman" w:cs="Times New Roman"/>
          <w:sz w:val="24"/>
          <w:szCs w:val="24"/>
        </w:rPr>
        <w:t xml:space="preserve">exact </w:t>
      </w:r>
      <w:r w:rsidR="00C03FFB">
        <w:rPr>
          <w:rFonts w:ascii="Times New Roman" w:hAnsi="Times New Roman" w:cs="Times New Roman"/>
          <w:sz w:val="24"/>
          <w:szCs w:val="24"/>
        </w:rPr>
        <w:t>amount</w:t>
      </w:r>
      <w:r w:rsidR="007E09B3">
        <w:rPr>
          <w:rFonts w:ascii="Times New Roman" w:hAnsi="Times New Roman" w:cs="Times New Roman"/>
          <w:sz w:val="24"/>
          <w:szCs w:val="24"/>
        </w:rPr>
        <w:t xml:space="preserve"> of these costs that</w:t>
      </w:r>
      <w:r w:rsidR="00C03FFB">
        <w:rPr>
          <w:rFonts w:ascii="Times New Roman" w:hAnsi="Times New Roman" w:cs="Times New Roman"/>
          <w:sz w:val="24"/>
          <w:szCs w:val="24"/>
        </w:rPr>
        <w:t xml:space="preserve"> </w:t>
      </w:r>
      <w:r w:rsidR="007E09B3">
        <w:rPr>
          <w:rFonts w:ascii="Times New Roman" w:hAnsi="Times New Roman" w:cs="Times New Roman"/>
          <w:sz w:val="24"/>
          <w:szCs w:val="24"/>
        </w:rPr>
        <w:t xml:space="preserve">NAPgA will cover </w:t>
      </w:r>
      <w:r w:rsidR="00C03FFB">
        <w:rPr>
          <w:rFonts w:ascii="Times New Roman" w:hAnsi="Times New Roman" w:cs="Times New Roman"/>
          <w:sz w:val="24"/>
          <w:szCs w:val="24"/>
        </w:rPr>
        <w:t>has not been determined at this time</w:t>
      </w:r>
      <w:r w:rsidR="007E09B3">
        <w:rPr>
          <w:rFonts w:ascii="Times New Roman" w:hAnsi="Times New Roman" w:cs="Times New Roman"/>
          <w:sz w:val="24"/>
          <w:szCs w:val="24"/>
        </w:rPr>
        <w:t xml:space="preserve"> but it is anticipated that the amou</w:t>
      </w:r>
      <w:r w:rsidR="00C03FFB">
        <w:rPr>
          <w:rFonts w:ascii="Times New Roman" w:hAnsi="Times New Roman" w:cs="Times New Roman"/>
          <w:sz w:val="24"/>
          <w:szCs w:val="24"/>
        </w:rPr>
        <w:t xml:space="preserve">nt will </w:t>
      </w:r>
      <w:r w:rsidR="00081FF1">
        <w:rPr>
          <w:rFonts w:ascii="Times New Roman" w:hAnsi="Times New Roman" w:cs="Times New Roman"/>
          <w:sz w:val="24"/>
          <w:szCs w:val="24"/>
        </w:rPr>
        <w:t>o</w:t>
      </w:r>
      <w:r w:rsidR="00C03FFB">
        <w:rPr>
          <w:rFonts w:ascii="Times New Roman" w:hAnsi="Times New Roman" w:cs="Times New Roman"/>
          <w:sz w:val="24"/>
          <w:szCs w:val="24"/>
        </w:rPr>
        <w:t>ffset the majority of any expense incurred by those enrolled in the study.</w:t>
      </w:r>
    </w:p>
    <w:p w14:paraId="57D7EF3D" w14:textId="77777777" w:rsidR="00A66091" w:rsidRDefault="00EC4EB0" w:rsidP="00984FC4">
      <w:pPr>
        <w:ind w:firstLine="720"/>
        <w:jc w:val="both"/>
        <w:rPr>
          <w:rFonts w:ascii="Times New Roman" w:hAnsi="Times New Roman" w:cs="Times New Roman"/>
          <w:sz w:val="24"/>
          <w:szCs w:val="24"/>
        </w:rPr>
      </w:pPr>
      <w:r>
        <w:rPr>
          <w:rFonts w:ascii="Times New Roman" w:hAnsi="Times New Roman" w:cs="Times New Roman"/>
          <w:b/>
          <w:bCs/>
          <w:sz w:val="24"/>
          <w:szCs w:val="24"/>
          <w:u w:val="single"/>
        </w:rPr>
        <w:t>Researcher’s Costs:</w:t>
      </w:r>
      <w:r>
        <w:rPr>
          <w:rFonts w:ascii="Times New Roman" w:hAnsi="Times New Roman" w:cs="Times New Roman"/>
          <w:sz w:val="24"/>
          <w:szCs w:val="24"/>
        </w:rPr>
        <w:t xml:space="preserve">  </w:t>
      </w:r>
      <w:r w:rsidR="00A66091">
        <w:rPr>
          <w:rFonts w:ascii="Times New Roman" w:hAnsi="Times New Roman" w:cs="Times New Roman"/>
          <w:sz w:val="24"/>
          <w:szCs w:val="24"/>
        </w:rPr>
        <w:t>Dr. Heller has generously agreed to donate her time to complete the diagnostic and reporting aspects of the study</w:t>
      </w:r>
      <w:r>
        <w:rPr>
          <w:rFonts w:ascii="Times New Roman" w:hAnsi="Times New Roman" w:cs="Times New Roman"/>
          <w:sz w:val="24"/>
          <w:szCs w:val="24"/>
        </w:rPr>
        <w:t xml:space="preserve"> free of charge.  NAPgA will cover Dr. Heller’s reasonable and necessary out of pocket expenses</w:t>
      </w:r>
      <w:r w:rsidR="00E9037D">
        <w:rPr>
          <w:rFonts w:ascii="Times New Roman" w:hAnsi="Times New Roman" w:cs="Times New Roman"/>
          <w:sz w:val="24"/>
          <w:szCs w:val="24"/>
        </w:rPr>
        <w:t xml:space="preserve"> that are incurred</w:t>
      </w:r>
      <w:r>
        <w:rPr>
          <w:rFonts w:ascii="Times New Roman" w:hAnsi="Times New Roman" w:cs="Times New Roman"/>
          <w:sz w:val="24"/>
          <w:szCs w:val="24"/>
        </w:rPr>
        <w:t xml:space="preserve">, if any, </w:t>
      </w:r>
      <w:r w:rsidR="00E9037D">
        <w:rPr>
          <w:rFonts w:ascii="Times New Roman" w:hAnsi="Times New Roman" w:cs="Times New Roman"/>
          <w:sz w:val="24"/>
          <w:szCs w:val="24"/>
        </w:rPr>
        <w:t>as part of this study</w:t>
      </w:r>
      <w:r w:rsidR="00A66091">
        <w:rPr>
          <w:rFonts w:ascii="Times New Roman" w:hAnsi="Times New Roman" w:cs="Times New Roman"/>
          <w:sz w:val="24"/>
          <w:szCs w:val="24"/>
        </w:rPr>
        <w:t xml:space="preserve">.  </w:t>
      </w:r>
      <w:r w:rsidR="00852807">
        <w:rPr>
          <w:rFonts w:ascii="Times New Roman" w:hAnsi="Times New Roman" w:cs="Times New Roman"/>
          <w:sz w:val="24"/>
          <w:szCs w:val="24"/>
        </w:rPr>
        <w:t xml:space="preserve">It is likely that an epidemiologist and/or </w:t>
      </w:r>
      <w:r w:rsidR="000F1056">
        <w:rPr>
          <w:rFonts w:ascii="Times New Roman" w:hAnsi="Times New Roman" w:cs="Times New Roman"/>
          <w:sz w:val="24"/>
          <w:szCs w:val="24"/>
        </w:rPr>
        <w:t xml:space="preserve">professional statistician will be needed to assist with the statistical analysis of data obtained throughout the course of the study.  The cost, if any, of engaging </w:t>
      </w:r>
      <w:r w:rsidR="00852807">
        <w:rPr>
          <w:rFonts w:ascii="Times New Roman" w:hAnsi="Times New Roman" w:cs="Times New Roman"/>
          <w:sz w:val="24"/>
          <w:szCs w:val="24"/>
        </w:rPr>
        <w:t xml:space="preserve">an epidemiologist and/or professional statistician </w:t>
      </w:r>
      <w:r w:rsidR="000F1056">
        <w:rPr>
          <w:rFonts w:ascii="Times New Roman" w:hAnsi="Times New Roman" w:cs="Times New Roman"/>
          <w:sz w:val="24"/>
          <w:szCs w:val="24"/>
        </w:rPr>
        <w:t>is unknown at this time.  This paragraph will be updated once this has been determined.</w:t>
      </w:r>
    </w:p>
    <w:p w14:paraId="1201DB91" w14:textId="77777777" w:rsidR="00F2393B" w:rsidRDefault="00E9037D" w:rsidP="00E75D2F">
      <w:pPr>
        <w:ind w:firstLine="720"/>
        <w:jc w:val="both"/>
        <w:rPr>
          <w:rFonts w:ascii="Times New Roman" w:hAnsi="Times New Roman" w:cs="Times New Roman"/>
          <w:sz w:val="24"/>
          <w:szCs w:val="24"/>
        </w:rPr>
      </w:pPr>
      <w:r>
        <w:rPr>
          <w:rFonts w:ascii="Times New Roman" w:hAnsi="Times New Roman" w:cs="Times New Roman"/>
          <w:b/>
          <w:bCs/>
          <w:sz w:val="24"/>
          <w:szCs w:val="24"/>
          <w:u w:val="single"/>
        </w:rPr>
        <w:t>Participant’s Costs:</w:t>
      </w:r>
      <w:r>
        <w:rPr>
          <w:rFonts w:ascii="Times New Roman" w:hAnsi="Times New Roman" w:cs="Times New Roman"/>
          <w:sz w:val="24"/>
          <w:szCs w:val="24"/>
        </w:rPr>
        <w:t xml:space="preserve">  The Committee is still discussing the financial commitment that may or may not be required from study participants in addition to paying for their own feed, minerals, vaccinations and veterinary care, and other common costs of goat ownership.  In addition to the foregoing, participants will be required to obtain necropsies for any </w:t>
      </w:r>
      <w:r w:rsidR="00984FC4">
        <w:rPr>
          <w:rFonts w:ascii="Times New Roman" w:hAnsi="Times New Roman" w:cs="Times New Roman"/>
          <w:sz w:val="24"/>
          <w:szCs w:val="24"/>
        </w:rPr>
        <w:t xml:space="preserve">of their goats that are included in the study that die during the term of the study.  The financial commitment required from study participants will be clarified and/or determined prior to the beginning of the study and this paragraph will be updated accordingly.  </w:t>
      </w:r>
      <w:r w:rsidR="00F2393B">
        <w:rPr>
          <w:rFonts w:ascii="Times New Roman" w:hAnsi="Times New Roman" w:cs="Times New Roman"/>
          <w:sz w:val="24"/>
          <w:szCs w:val="24"/>
        </w:rPr>
        <w:br w:type="page"/>
      </w:r>
    </w:p>
    <w:p w14:paraId="6C510C6F" w14:textId="77777777" w:rsidR="000F1056" w:rsidRDefault="00716291" w:rsidP="000E7A3D">
      <w:pPr>
        <w:spacing w:after="120"/>
        <w:ind w:firstLine="720"/>
        <w:jc w:val="center"/>
        <w:rPr>
          <w:rFonts w:ascii="Times New Roman" w:hAnsi="Times New Roman" w:cs="Times New Roman"/>
          <w:sz w:val="24"/>
          <w:szCs w:val="24"/>
        </w:rPr>
      </w:pPr>
      <w:r>
        <w:rPr>
          <w:rFonts w:ascii="Times New Roman" w:hAnsi="Times New Roman" w:cs="Times New Roman"/>
          <w:b/>
          <w:bCs/>
          <w:sz w:val="24"/>
          <w:szCs w:val="24"/>
        </w:rPr>
        <w:lastRenderedPageBreak/>
        <w:t>Estimated</w:t>
      </w:r>
      <w:r w:rsidR="00234F3E">
        <w:rPr>
          <w:rFonts w:ascii="Times New Roman" w:hAnsi="Times New Roman" w:cs="Times New Roman"/>
          <w:b/>
          <w:bCs/>
          <w:sz w:val="24"/>
          <w:szCs w:val="24"/>
        </w:rPr>
        <w:t xml:space="preserve"> Budget</w:t>
      </w:r>
    </w:p>
    <w:tbl>
      <w:tblPr>
        <w:tblStyle w:val="TableGrid"/>
        <w:tblW w:w="0" w:type="auto"/>
        <w:tblLook w:val="04A0" w:firstRow="1" w:lastRow="0" w:firstColumn="1" w:lastColumn="0" w:noHBand="0" w:noVBand="1"/>
      </w:tblPr>
      <w:tblGrid>
        <w:gridCol w:w="4140"/>
        <w:gridCol w:w="1061"/>
        <w:gridCol w:w="1016"/>
        <w:gridCol w:w="1116"/>
        <w:gridCol w:w="1116"/>
        <w:gridCol w:w="1143"/>
        <w:gridCol w:w="1037"/>
        <w:gridCol w:w="1160"/>
        <w:gridCol w:w="1141"/>
      </w:tblGrid>
      <w:tr w:rsidR="009B6B42" w14:paraId="4BC58F81" w14:textId="77777777" w:rsidTr="00F039C5">
        <w:tc>
          <w:tcPr>
            <w:tcW w:w="4347" w:type="dxa"/>
            <w:tcBorders>
              <w:top w:val="double" w:sz="4" w:space="0" w:color="auto"/>
              <w:left w:val="double" w:sz="4" w:space="0" w:color="auto"/>
              <w:bottom w:val="single" w:sz="6" w:space="0" w:color="auto"/>
              <w:right w:val="double" w:sz="4" w:space="0" w:color="auto"/>
            </w:tcBorders>
          </w:tcPr>
          <w:p w14:paraId="7C56F874" w14:textId="77777777" w:rsidR="00282144" w:rsidRPr="00A6393C" w:rsidRDefault="00282144" w:rsidP="00B11F4E">
            <w:pPr>
              <w:spacing w:after="0"/>
              <w:rPr>
                <w:rFonts w:ascii="Times New Roman" w:hAnsi="Times New Roman" w:cs="Times New Roman"/>
                <w:b/>
                <w:sz w:val="20"/>
                <w:szCs w:val="20"/>
              </w:rPr>
            </w:pPr>
          </w:p>
        </w:tc>
        <w:tc>
          <w:tcPr>
            <w:tcW w:w="3207" w:type="dxa"/>
            <w:gridSpan w:val="3"/>
            <w:tcBorders>
              <w:top w:val="double" w:sz="4" w:space="0" w:color="auto"/>
              <w:left w:val="double" w:sz="4" w:space="0" w:color="auto"/>
              <w:bottom w:val="single" w:sz="6" w:space="0" w:color="auto"/>
              <w:right w:val="double" w:sz="4" w:space="0" w:color="auto"/>
            </w:tcBorders>
          </w:tcPr>
          <w:p w14:paraId="2F867D57" w14:textId="77777777" w:rsidR="00282144" w:rsidRPr="00A6393C" w:rsidRDefault="00282144" w:rsidP="008962F8">
            <w:pPr>
              <w:spacing w:after="0"/>
              <w:jc w:val="center"/>
              <w:rPr>
                <w:rFonts w:ascii="Times New Roman" w:hAnsi="Times New Roman" w:cs="Times New Roman"/>
                <w:b/>
                <w:sz w:val="20"/>
                <w:szCs w:val="20"/>
              </w:rPr>
            </w:pPr>
            <w:r w:rsidRPr="00A6393C">
              <w:rPr>
                <w:rFonts w:ascii="Times New Roman" w:hAnsi="Times New Roman" w:cs="Times New Roman"/>
                <w:b/>
                <w:sz w:val="20"/>
                <w:szCs w:val="20"/>
              </w:rPr>
              <w:t xml:space="preserve">Assuming Minimum </w:t>
            </w:r>
            <w:r w:rsidR="008962F8">
              <w:rPr>
                <w:rFonts w:ascii="Times New Roman" w:hAnsi="Times New Roman" w:cs="Times New Roman"/>
                <w:b/>
                <w:sz w:val="20"/>
                <w:szCs w:val="20"/>
              </w:rPr>
              <w:t>50</w:t>
            </w:r>
            <w:r w:rsidRPr="00A6393C">
              <w:rPr>
                <w:rFonts w:ascii="Times New Roman" w:hAnsi="Times New Roman" w:cs="Times New Roman"/>
                <w:b/>
                <w:sz w:val="20"/>
                <w:szCs w:val="20"/>
              </w:rPr>
              <w:t xml:space="preserve"> Farms and </w:t>
            </w:r>
            <w:r w:rsidR="008962F8">
              <w:rPr>
                <w:rFonts w:ascii="Times New Roman" w:hAnsi="Times New Roman" w:cs="Times New Roman"/>
                <w:b/>
                <w:sz w:val="20"/>
                <w:szCs w:val="20"/>
              </w:rPr>
              <w:t>300</w:t>
            </w:r>
            <w:r w:rsidRPr="00A6393C">
              <w:rPr>
                <w:rFonts w:ascii="Times New Roman" w:hAnsi="Times New Roman" w:cs="Times New Roman"/>
                <w:b/>
                <w:sz w:val="20"/>
                <w:szCs w:val="20"/>
              </w:rPr>
              <w:t xml:space="preserve"> Wethered Goats</w:t>
            </w:r>
          </w:p>
        </w:tc>
        <w:tc>
          <w:tcPr>
            <w:tcW w:w="1116" w:type="dxa"/>
            <w:tcBorders>
              <w:top w:val="double" w:sz="4" w:space="0" w:color="auto"/>
              <w:left w:val="double" w:sz="4" w:space="0" w:color="auto"/>
              <w:bottom w:val="single" w:sz="6" w:space="0" w:color="auto"/>
              <w:right w:val="double" w:sz="4" w:space="0" w:color="auto"/>
            </w:tcBorders>
          </w:tcPr>
          <w:p w14:paraId="55834E8B" w14:textId="77777777" w:rsidR="00282144" w:rsidRPr="00A6393C" w:rsidRDefault="00F039C5" w:rsidP="005E741E">
            <w:pPr>
              <w:spacing w:after="0"/>
              <w:jc w:val="right"/>
              <w:rPr>
                <w:rFonts w:ascii="Times New Roman" w:hAnsi="Times New Roman" w:cs="Times New Roman"/>
                <w:b/>
                <w:sz w:val="20"/>
                <w:szCs w:val="20"/>
              </w:rPr>
            </w:pPr>
            <w:r>
              <w:rPr>
                <w:rFonts w:ascii="Times New Roman" w:hAnsi="Times New Roman" w:cs="Times New Roman"/>
                <w:b/>
                <w:sz w:val="20"/>
                <w:szCs w:val="20"/>
              </w:rPr>
              <w:t>Totals</w:t>
            </w:r>
          </w:p>
        </w:tc>
        <w:tc>
          <w:tcPr>
            <w:tcW w:w="3363" w:type="dxa"/>
            <w:gridSpan w:val="3"/>
            <w:tcBorders>
              <w:top w:val="double" w:sz="4" w:space="0" w:color="auto"/>
              <w:left w:val="double" w:sz="4" w:space="0" w:color="auto"/>
              <w:bottom w:val="single" w:sz="6" w:space="0" w:color="auto"/>
              <w:right w:val="double" w:sz="4" w:space="0" w:color="auto"/>
            </w:tcBorders>
          </w:tcPr>
          <w:p w14:paraId="2968FF77" w14:textId="77777777" w:rsidR="00282144" w:rsidRPr="00A6393C" w:rsidRDefault="00282144" w:rsidP="008962F8">
            <w:pPr>
              <w:spacing w:after="0"/>
              <w:jc w:val="center"/>
              <w:rPr>
                <w:rFonts w:ascii="Times New Roman" w:hAnsi="Times New Roman" w:cs="Times New Roman"/>
                <w:b/>
                <w:sz w:val="20"/>
                <w:szCs w:val="20"/>
              </w:rPr>
            </w:pPr>
            <w:r w:rsidRPr="00A6393C">
              <w:rPr>
                <w:rFonts w:ascii="Times New Roman" w:hAnsi="Times New Roman" w:cs="Times New Roman"/>
                <w:b/>
                <w:sz w:val="20"/>
                <w:szCs w:val="20"/>
              </w:rPr>
              <w:t xml:space="preserve">Assuming Minimum </w:t>
            </w:r>
            <w:r w:rsidR="008962F8">
              <w:rPr>
                <w:rFonts w:ascii="Times New Roman" w:hAnsi="Times New Roman" w:cs="Times New Roman"/>
                <w:b/>
                <w:sz w:val="20"/>
                <w:szCs w:val="20"/>
              </w:rPr>
              <w:t>100</w:t>
            </w:r>
            <w:r w:rsidRPr="00A6393C">
              <w:rPr>
                <w:rFonts w:ascii="Times New Roman" w:hAnsi="Times New Roman" w:cs="Times New Roman"/>
                <w:b/>
                <w:sz w:val="20"/>
                <w:szCs w:val="20"/>
              </w:rPr>
              <w:t xml:space="preserve"> Farms and </w:t>
            </w:r>
            <w:r w:rsidR="008962F8">
              <w:rPr>
                <w:rFonts w:ascii="Times New Roman" w:hAnsi="Times New Roman" w:cs="Times New Roman"/>
                <w:b/>
                <w:sz w:val="20"/>
                <w:szCs w:val="20"/>
              </w:rPr>
              <w:t>600</w:t>
            </w:r>
            <w:r w:rsidRPr="00A6393C">
              <w:rPr>
                <w:rFonts w:ascii="Times New Roman" w:hAnsi="Times New Roman" w:cs="Times New Roman"/>
                <w:b/>
                <w:sz w:val="20"/>
                <w:szCs w:val="20"/>
              </w:rPr>
              <w:t xml:space="preserve"> Wethered Goats</w:t>
            </w:r>
          </w:p>
        </w:tc>
        <w:tc>
          <w:tcPr>
            <w:tcW w:w="1143" w:type="dxa"/>
            <w:tcBorders>
              <w:top w:val="double" w:sz="4" w:space="0" w:color="auto"/>
              <w:left w:val="double" w:sz="4" w:space="0" w:color="auto"/>
              <w:bottom w:val="single" w:sz="6" w:space="0" w:color="auto"/>
              <w:right w:val="double" w:sz="4" w:space="0" w:color="auto"/>
            </w:tcBorders>
          </w:tcPr>
          <w:p w14:paraId="3C1D5152" w14:textId="77777777" w:rsidR="00282144" w:rsidRPr="00A6393C" w:rsidRDefault="00F039C5" w:rsidP="005E741E">
            <w:pPr>
              <w:spacing w:after="0"/>
              <w:jc w:val="right"/>
              <w:rPr>
                <w:rFonts w:ascii="Times New Roman" w:hAnsi="Times New Roman" w:cs="Times New Roman"/>
                <w:b/>
                <w:sz w:val="20"/>
                <w:szCs w:val="20"/>
              </w:rPr>
            </w:pPr>
            <w:r>
              <w:rPr>
                <w:rFonts w:ascii="Times New Roman" w:hAnsi="Times New Roman" w:cs="Times New Roman"/>
                <w:b/>
                <w:sz w:val="20"/>
                <w:szCs w:val="20"/>
              </w:rPr>
              <w:t>Totals</w:t>
            </w:r>
          </w:p>
        </w:tc>
      </w:tr>
      <w:tr w:rsidR="009B6B42" w14:paraId="39A992A0" w14:textId="77777777" w:rsidTr="00F039C5">
        <w:tc>
          <w:tcPr>
            <w:tcW w:w="4347" w:type="dxa"/>
            <w:tcBorders>
              <w:top w:val="single" w:sz="6" w:space="0" w:color="auto"/>
              <w:left w:val="double" w:sz="4" w:space="0" w:color="auto"/>
              <w:bottom w:val="single" w:sz="6" w:space="0" w:color="auto"/>
              <w:right w:val="double" w:sz="4" w:space="0" w:color="auto"/>
            </w:tcBorders>
          </w:tcPr>
          <w:p w14:paraId="751F2419" w14:textId="77777777" w:rsidR="00282144" w:rsidRPr="00B11F4E" w:rsidRDefault="00282144" w:rsidP="00B11F4E">
            <w:pPr>
              <w:spacing w:after="0"/>
              <w:rPr>
                <w:rFonts w:ascii="Times New Roman" w:hAnsi="Times New Roman" w:cs="Times New Roman"/>
                <w:sz w:val="20"/>
                <w:szCs w:val="20"/>
                <w:u w:val="single"/>
              </w:rPr>
            </w:pPr>
          </w:p>
        </w:tc>
        <w:tc>
          <w:tcPr>
            <w:tcW w:w="1075" w:type="dxa"/>
            <w:tcBorders>
              <w:top w:val="single" w:sz="6" w:space="0" w:color="auto"/>
              <w:left w:val="double" w:sz="4" w:space="0" w:color="auto"/>
              <w:bottom w:val="single" w:sz="6" w:space="0" w:color="auto"/>
              <w:right w:val="single" w:sz="6" w:space="0" w:color="auto"/>
            </w:tcBorders>
          </w:tcPr>
          <w:p w14:paraId="46B8C3ED" w14:textId="77777777" w:rsidR="00282144" w:rsidRPr="00B11F4E" w:rsidRDefault="00282144" w:rsidP="00A6393C">
            <w:pPr>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Number</w:t>
            </w:r>
          </w:p>
        </w:tc>
        <w:tc>
          <w:tcPr>
            <w:tcW w:w="1016" w:type="dxa"/>
            <w:tcBorders>
              <w:top w:val="single" w:sz="6" w:space="0" w:color="auto"/>
              <w:left w:val="single" w:sz="6" w:space="0" w:color="auto"/>
              <w:bottom w:val="single" w:sz="6" w:space="0" w:color="auto"/>
              <w:right w:val="single" w:sz="6" w:space="0" w:color="auto"/>
            </w:tcBorders>
          </w:tcPr>
          <w:p w14:paraId="394123DB" w14:textId="77777777" w:rsidR="00282144" w:rsidRPr="00B11F4E" w:rsidRDefault="00282144" w:rsidP="00A6393C">
            <w:pPr>
              <w:spacing w:after="0"/>
              <w:jc w:val="right"/>
              <w:rPr>
                <w:rFonts w:ascii="Times New Roman" w:hAnsi="Times New Roman" w:cs="Times New Roman"/>
                <w:sz w:val="20"/>
                <w:szCs w:val="20"/>
                <w:u w:val="single"/>
              </w:rPr>
            </w:pPr>
            <w:r w:rsidRPr="00B11F4E">
              <w:rPr>
                <w:rFonts w:ascii="Times New Roman" w:hAnsi="Times New Roman" w:cs="Times New Roman"/>
                <w:sz w:val="20"/>
                <w:szCs w:val="20"/>
                <w:u w:val="single"/>
              </w:rPr>
              <w:t>Unit Cost</w:t>
            </w:r>
          </w:p>
        </w:tc>
        <w:tc>
          <w:tcPr>
            <w:tcW w:w="1116" w:type="dxa"/>
            <w:tcBorders>
              <w:top w:val="single" w:sz="6" w:space="0" w:color="auto"/>
              <w:left w:val="single" w:sz="6" w:space="0" w:color="auto"/>
              <w:bottom w:val="single" w:sz="6" w:space="0" w:color="auto"/>
              <w:right w:val="double" w:sz="4" w:space="0" w:color="auto"/>
            </w:tcBorders>
          </w:tcPr>
          <w:p w14:paraId="13094A59" w14:textId="77777777" w:rsidR="00282144" w:rsidRPr="00B11F4E" w:rsidRDefault="00282144" w:rsidP="005E741E">
            <w:pPr>
              <w:spacing w:after="0"/>
              <w:jc w:val="right"/>
              <w:rPr>
                <w:rFonts w:ascii="Times New Roman" w:hAnsi="Times New Roman" w:cs="Times New Roman"/>
                <w:sz w:val="20"/>
                <w:szCs w:val="20"/>
                <w:u w:val="single"/>
              </w:rPr>
            </w:pPr>
            <w:r w:rsidRPr="00B11F4E">
              <w:rPr>
                <w:rFonts w:ascii="Times New Roman" w:hAnsi="Times New Roman" w:cs="Times New Roman"/>
                <w:sz w:val="20"/>
                <w:szCs w:val="20"/>
                <w:u w:val="single"/>
              </w:rPr>
              <w:t>Total</w:t>
            </w:r>
          </w:p>
        </w:tc>
        <w:tc>
          <w:tcPr>
            <w:tcW w:w="1116" w:type="dxa"/>
            <w:tcBorders>
              <w:top w:val="single" w:sz="6" w:space="0" w:color="auto"/>
              <w:left w:val="double" w:sz="4" w:space="0" w:color="auto"/>
              <w:bottom w:val="single" w:sz="6" w:space="0" w:color="auto"/>
              <w:right w:val="double" w:sz="4" w:space="0" w:color="auto"/>
            </w:tcBorders>
          </w:tcPr>
          <w:p w14:paraId="6675FE3D" w14:textId="77777777" w:rsidR="00282144" w:rsidRDefault="00282144" w:rsidP="005E741E">
            <w:pPr>
              <w:spacing w:after="0"/>
              <w:jc w:val="right"/>
              <w:rPr>
                <w:rFonts w:ascii="Times New Roman" w:hAnsi="Times New Roman" w:cs="Times New Roman"/>
                <w:sz w:val="20"/>
                <w:szCs w:val="20"/>
                <w:u w:val="single"/>
              </w:rPr>
            </w:pPr>
          </w:p>
        </w:tc>
        <w:tc>
          <w:tcPr>
            <w:tcW w:w="1162" w:type="dxa"/>
            <w:tcBorders>
              <w:top w:val="single" w:sz="6" w:space="0" w:color="auto"/>
              <w:left w:val="double" w:sz="4" w:space="0" w:color="auto"/>
              <w:bottom w:val="single" w:sz="6" w:space="0" w:color="auto"/>
              <w:right w:val="single" w:sz="6" w:space="0" w:color="auto"/>
            </w:tcBorders>
          </w:tcPr>
          <w:p w14:paraId="57A7560E" w14:textId="77777777" w:rsidR="00282144" w:rsidRPr="00B11F4E" w:rsidRDefault="00282144" w:rsidP="00A6393C">
            <w:pPr>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Number</w:t>
            </w:r>
          </w:p>
        </w:tc>
        <w:tc>
          <w:tcPr>
            <w:tcW w:w="1038" w:type="dxa"/>
            <w:tcBorders>
              <w:top w:val="single" w:sz="6" w:space="0" w:color="auto"/>
              <w:left w:val="single" w:sz="6" w:space="0" w:color="auto"/>
              <w:bottom w:val="single" w:sz="6" w:space="0" w:color="auto"/>
              <w:right w:val="single" w:sz="6" w:space="0" w:color="auto"/>
            </w:tcBorders>
          </w:tcPr>
          <w:p w14:paraId="499D4681" w14:textId="77777777" w:rsidR="00282144" w:rsidRPr="00B11F4E" w:rsidRDefault="00282144" w:rsidP="00A6393C">
            <w:pPr>
              <w:spacing w:after="0"/>
              <w:jc w:val="right"/>
              <w:rPr>
                <w:rFonts w:ascii="Times New Roman" w:hAnsi="Times New Roman" w:cs="Times New Roman"/>
                <w:sz w:val="20"/>
                <w:szCs w:val="20"/>
                <w:u w:val="single"/>
              </w:rPr>
            </w:pPr>
            <w:r w:rsidRPr="00B11F4E">
              <w:rPr>
                <w:rFonts w:ascii="Times New Roman" w:hAnsi="Times New Roman" w:cs="Times New Roman"/>
                <w:sz w:val="20"/>
                <w:szCs w:val="20"/>
                <w:u w:val="single"/>
              </w:rPr>
              <w:t>Unit Cost</w:t>
            </w:r>
          </w:p>
        </w:tc>
        <w:tc>
          <w:tcPr>
            <w:tcW w:w="1163" w:type="dxa"/>
            <w:tcBorders>
              <w:top w:val="single" w:sz="6" w:space="0" w:color="auto"/>
              <w:left w:val="single" w:sz="6" w:space="0" w:color="auto"/>
              <w:bottom w:val="single" w:sz="6" w:space="0" w:color="auto"/>
              <w:right w:val="double" w:sz="4" w:space="0" w:color="auto"/>
            </w:tcBorders>
          </w:tcPr>
          <w:p w14:paraId="31A6A086" w14:textId="77777777" w:rsidR="00282144" w:rsidRPr="00B11F4E" w:rsidRDefault="00282144" w:rsidP="00A6393C">
            <w:pPr>
              <w:spacing w:after="0"/>
              <w:jc w:val="right"/>
              <w:rPr>
                <w:rFonts w:ascii="Times New Roman" w:hAnsi="Times New Roman" w:cs="Times New Roman"/>
                <w:sz w:val="20"/>
                <w:szCs w:val="20"/>
                <w:u w:val="single"/>
              </w:rPr>
            </w:pPr>
            <w:r w:rsidRPr="00B11F4E">
              <w:rPr>
                <w:rFonts w:ascii="Times New Roman" w:hAnsi="Times New Roman" w:cs="Times New Roman"/>
                <w:sz w:val="20"/>
                <w:szCs w:val="20"/>
                <w:u w:val="single"/>
              </w:rPr>
              <w:t>Total</w:t>
            </w:r>
          </w:p>
        </w:tc>
        <w:tc>
          <w:tcPr>
            <w:tcW w:w="1143" w:type="dxa"/>
            <w:tcBorders>
              <w:top w:val="single" w:sz="6" w:space="0" w:color="auto"/>
              <w:left w:val="single" w:sz="6" w:space="0" w:color="auto"/>
              <w:bottom w:val="single" w:sz="6" w:space="0" w:color="auto"/>
              <w:right w:val="double" w:sz="4" w:space="0" w:color="auto"/>
            </w:tcBorders>
          </w:tcPr>
          <w:p w14:paraId="60691077" w14:textId="77777777" w:rsidR="00282144" w:rsidRPr="00B11F4E" w:rsidRDefault="00282144" w:rsidP="005E741E">
            <w:pPr>
              <w:spacing w:after="0"/>
              <w:jc w:val="right"/>
              <w:rPr>
                <w:rFonts w:ascii="Times New Roman" w:hAnsi="Times New Roman" w:cs="Times New Roman"/>
                <w:sz w:val="20"/>
                <w:szCs w:val="20"/>
                <w:u w:val="single"/>
              </w:rPr>
            </w:pPr>
          </w:p>
        </w:tc>
      </w:tr>
      <w:tr w:rsidR="009B6B42" w14:paraId="3568DE3B" w14:textId="77777777" w:rsidTr="00506EA6">
        <w:tc>
          <w:tcPr>
            <w:tcW w:w="4347" w:type="dxa"/>
            <w:tcBorders>
              <w:top w:val="single" w:sz="6" w:space="0" w:color="auto"/>
              <w:left w:val="double" w:sz="4" w:space="0" w:color="auto"/>
              <w:bottom w:val="single" w:sz="6" w:space="0" w:color="auto"/>
              <w:right w:val="double" w:sz="4" w:space="0" w:color="auto"/>
            </w:tcBorders>
          </w:tcPr>
          <w:p w14:paraId="396AE575" w14:textId="77777777" w:rsidR="00A0283D" w:rsidRDefault="00C6052F">
            <w:pPr>
              <w:spacing w:after="0"/>
              <w:jc w:val="center"/>
              <w:rPr>
                <w:rFonts w:ascii="Times New Roman" w:hAnsi="Times New Roman" w:cs="Times New Roman"/>
                <w:sz w:val="20"/>
                <w:szCs w:val="20"/>
              </w:rPr>
            </w:pPr>
            <w:r w:rsidRPr="00A6393C">
              <w:rPr>
                <w:rFonts w:ascii="Times New Roman" w:hAnsi="Times New Roman" w:cs="Times New Roman"/>
                <w:b/>
                <w:sz w:val="20"/>
                <w:szCs w:val="20"/>
              </w:rPr>
              <w:t>First year budget estimates:</w:t>
            </w:r>
          </w:p>
        </w:tc>
        <w:tc>
          <w:tcPr>
            <w:tcW w:w="1075" w:type="dxa"/>
            <w:tcBorders>
              <w:top w:val="single" w:sz="6" w:space="0" w:color="auto"/>
              <w:left w:val="double" w:sz="4" w:space="0" w:color="auto"/>
              <w:bottom w:val="single" w:sz="6" w:space="0" w:color="auto"/>
              <w:right w:val="single" w:sz="6" w:space="0" w:color="auto"/>
            </w:tcBorders>
          </w:tcPr>
          <w:p w14:paraId="54F19178" w14:textId="77777777" w:rsidR="00C6052F" w:rsidRDefault="00C6052F" w:rsidP="00A6393C">
            <w:pPr>
              <w:spacing w:after="0"/>
              <w:jc w:val="center"/>
              <w:rPr>
                <w:rFonts w:ascii="Times New Roman" w:hAnsi="Times New Roman" w:cs="Times New Roman"/>
                <w:sz w:val="20"/>
                <w:szCs w:val="20"/>
              </w:rPr>
            </w:pPr>
          </w:p>
        </w:tc>
        <w:tc>
          <w:tcPr>
            <w:tcW w:w="1016" w:type="dxa"/>
            <w:tcBorders>
              <w:top w:val="single" w:sz="6" w:space="0" w:color="auto"/>
              <w:left w:val="single" w:sz="6" w:space="0" w:color="auto"/>
              <w:bottom w:val="single" w:sz="6" w:space="0" w:color="auto"/>
              <w:right w:val="single" w:sz="6" w:space="0" w:color="auto"/>
            </w:tcBorders>
          </w:tcPr>
          <w:p w14:paraId="52668BDF" w14:textId="77777777" w:rsidR="00C6052F" w:rsidRDefault="00C6052F" w:rsidP="00A6393C">
            <w:pPr>
              <w:spacing w:after="0"/>
              <w:jc w:val="right"/>
              <w:rPr>
                <w:rFonts w:ascii="Times New Roman" w:hAnsi="Times New Roman" w:cs="Times New Roman"/>
                <w:sz w:val="20"/>
                <w:szCs w:val="20"/>
              </w:rPr>
            </w:pPr>
          </w:p>
        </w:tc>
        <w:tc>
          <w:tcPr>
            <w:tcW w:w="1116" w:type="dxa"/>
            <w:tcBorders>
              <w:top w:val="single" w:sz="6" w:space="0" w:color="auto"/>
              <w:left w:val="single" w:sz="6" w:space="0" w:color="auto"/>
              <w:bottom w:val="single" w:sz="6" w:space="0" w:color="auto"/>
              <w:right w:val="double" w:sz="4" w:space="0" w:color="auto"/>
            </w:tcBorders>
          </w:tcPr>
          <w:p w14:paraId="4310DDB3" w14:textId="77777777" w:rsidR="00C6052F" w:rsidRPr="000452FF" w:rsidRDefault="00C6052F" w:rsidP="008962F8">
            <w:pPr>
              <w:spacing w:after="0"/>
              <w:jc w:val="right"/>
              <w:rPr>
                <w:rFonts w:ascii="Times New Roman" w:hAnsi="Times New Roman" w:cs="Times New Roman"/>
                <w:sz w:val="20"/>
                <w:szCs w:val="20"/>
              </w:rPr>
            </w:pPr>
          </w:p>
        </w:tc>
        <w:tc>
          <w:tcPr>
            <w:tcW w:w="1116" w:type="dxa"/>
            <w:tcBorders>
              <w:top w:val="single" w:sz="6" w:space="0" w:color="auto"/>
              <w:left w:val="double" w:sz="4" w:space="0" w:color="auto"/>
              <w:bottom w:val="single" w:sz="6" w:space="0" w:color="auto"/>
              <w:right w:val="double" w:sz="4" w:space="0" w:color="auto"/>
            </w:tcBorders>
          </w:tcPr>
          <w:p w14:paraId="7916073F" w14:textId="77777777" w:rsidR="00C6052F" w:rsidRDefault="00C6052F" w:rsidP="005E741E">
            <w:pPr>
              <w:spacing w:after="0"/>
              <w:jc w:val="right"/>
              <w:rPr>
                <w:rFonts w:ascii="Times New Roman" w:hAnsi="Times New Roman" w:cs="Times New Roman"/>
                <w:sz w:val="20"/>
                <w:szCs w:val="20"/>
              </w:rPr>
            </w:pPr>
          </w:p>
        </w:tc>
        <w:tc>
          <w:tcPr>
            <w:tcW w:w="1162" w:type="dxa"/>
            <w:tcBorders>
              <w:top w:val="single" w:sz="6" w:space="0" w:color="auto"/>
              <w:left w:val="double" w:sz="4" w:space="0" w:color="auto"/>
              <w:bottom w:val="single" w:sz="6" w:space="0" w:color="auto"/>
              <w:right w:val="single" w:sz="6" w:space="0" w:color="auto"/>
            </w:tcBorders>
          </w:tcPr>
          <w:p w14:paraId="5D20F951" w14:textId="77777777" w:rsidR="00C6052F" w:rsidRDefault="00C6052F" w:rsidP="00A6393C">
            <w:pPr>
              <w:spacing w:after="0"/>
              <w:jc w:val="center"/>
              <w:rPr>
                <w:rFonts w:ascii="Times New Roman" w:hAnsi="Times New Roman" w:cs="Times New Roman"/>
                <w:sz w:val="20"/>
                <w:szCs w:val="20"/>
              </w:rPr>
            </w:pPr>
          </w:p>
        </w:tc>
        <w:tc>
          <w:tcPr>
            <w:tcW w:w="1038" w:type="dxa"/>
            <w:tcBorders>
              <w:top w:val="single" w:sz="6" w:space="0" w:color="auto"/>
              <w:left w:val="single" w:sz="6" w:space="0" w:color="auto"/>
              <w:bottom w:val="single" w:sz="6" w:space="0" w:color="auto"/>
              <w:right w:val="single" w:sz="6" w:space="0" w:color="auto"/>
            </w:tcBorders>
          </w:tcPr>
          <w:p w14:paraId="550974F6" w14:textId="77777777" w:rsidR="00C6052F" w:rsidRPr="006A0234" w:rsidRDefault="00C6052F" w:rsidP="00A6393C">
            <w:pPr>
              <w:spacing w:after="0"/>
              <w:jc w:val="right"/>
              <w:rPr>
                <w:rFonts w:ascii="Times New Roman" w:hAnsi="Times New Roman" w:cs="Times New Roman"/>
                <w:sz w:val="20"/>
                <w:szCs w:val="20"/>
              </w:rPr>
            </w:pPr>
          </w:p>
        </w:tc>
        <w:tc>
          <w:tcPr>
            <w:tcW w:w="1163" w:type="dxa"/>
            <w:tcBorders>
              <w:top w:val="single" w:sz="6" w:space="0" w:color="auto"/>
              <w:left w:val="single" w:sz="6" w:space="0" w:color="auto"/>
              <w:bottom w:val="single" w:sz="6" w:space="0" w:color="auto"/>
              <w:right w:val="double" w:sz="4" w:space="0" w:color="auto"/>
            </w:tcBorders>
          </w:tcPr>
          <w:p w14:paraId="66D8E7B8" w14:textId="77777777" w:rsidR="00C6052F" w:rsidRPr="006A0234" w:rsidRDefault="00C6052F" w:rsidP="008962F8">
            <w:pPr>
              <w:spacing w:after="0"/>
              <w:jc w:val="right"/>
              <w:rPr>
                <w:rFonts w:ascii="Times New Roman" w:hAnsi="Times New Roman" w:cs="Times New Roman"/>
                <w:sz w:val="20"/>
                <w:szCs w:val="20"/>
              </w:rPr>
            </w:pPr>
          </w:p>
        </w:tc>
        <w:tc>
          <w:tcPr>
            <w:tcW w:w="1143" w:type="dxa"/>
            <w:tcBorders>
              <w:top w:val="single" w:sz="6" w:space="0" w:color="auto"/>
              <w:left w:val="single" w:sz="6" w:space="0" w:color="auto"/>
              <w:bottom w:val="single" w:sz="6" w:space="0" w:color="auto"/>
              <w:right w:val="double" w:sz="4" w:space="0" w:color="auto"/>
            </w:tcBorders>
          </w:tcPr>
          <w:p w14:paraId="2A3E5C54" w14:textId="77777777" w:rsidR="00C6052F" w:rsidRDefault="00C6052F" w:rsidP="005E741E">
            <w:pPr>
              <w:spacing w:after="0"/>
              <w:jc w:val="right"/>
              <w:rPr>
                <w:rFonts w:ascii="Times New Roman" w:hAnsi="Times New Roman" w:cs="Times New Roman"/>
                <w:sz w:val="20"/>
                <w:szCs w:val="20"/>
              </w:rPr>
            </w:pPr>
          </w:p>
        </w:tc>
      </w:tr>
      <w:tr w:rsidR="009B6B42" w14:paraId="77BE0498" w14:textId="77777777" w:rsidTr="00506EA6">
        <w:tc>
          <w:tcPr>
            <w:tcW w:w="4347" w:type="dxa"/>
            <w:tcBorders>
              <w:top w:val="single" w:sz="6" w:space="0" w:color="auto"/>
              <w:left w:val="double" w:sz="4" w:space="0" w:color="auto"/>
              <w:bottom w:val="single" w:sz="6" w:space="0" w:color="auto"/>
              <w:right w:val="double" w:sz="4" w:space="0" w:color="auto"/>
            </w:tcBorders>
          </w:tcPr>
          <w:p w14:paraId="13223D80" w14:textId="77777777" w:rsidR="00282144" w:rsidRPr="00B11F4E" w:rsidRDefault="009B6B42" w:rsidP="009B6B42">
            <w:pPr>
              <w:spacing w:after="0"/>
              <w:rPr>
                <w:rFonts w:ascii="Times New Roman" w:hAnsi="Times New Roman" w:cs="Times New Roman"/>
                <w:sz w:val="20"/>
                <w:szCs w:val="20"/>
                <w:u w:val="single"/>
              </w:rPr>
            </w:pPr>
            <w:r>
              <w:rPr>
                <w:rFonts w:ascii="Times New Roman" w:hAnsi="Times New Roman" w:cs="Times New Roman"/>
                <w:sz w:val="20"/>
                <w:szCs w:val="20"/>
              </w:rPr>
              <w:t>Year 1 – i</w:t>
            </w:r>
            <w:r w:rsidR="00282144" w:rsidRPr="00B11F4E">
              <w:rPr>
                <w:rFonts w:ascii="Times New Roman" w:hAnsi="Times New Roman" w:cs="Times New Roman"/>
                <w:sz w:val="20"/>
                <w:szCs w:val="20"/>
              </w:rPr>
              <w:t>nitial hay/browse analysis</w:t>
            </w:r>
          </w:p>
        </w:tc>
        <w:tc>
          <w:tcPr>
            <w:tcW w:w="1075" w:type="dxa"/>
            <w:tcBorders>
              <w:top w:val="single" w:sz="6" w:space="0" w:color="auto"/>
              <w:left w:val="double" w:sz="4" w:space="0" w:color="auto"/>
              <w:bottom w:val="single" w:sz="6" w:space="0" w:color="auto"/>
              <w:right w:val="single" w:sz="6" w:space="0" w:color="auto"/>
            </w:tcBorders>
          </w:tcPr>
          <w:p w14:paraId="239E1697" w14:textId="77777777" w:rsidR="00282144" w:rsidRPr="00A6393C" w:rsidRDefault="008962F8" w:rsidP="00A6393C">
            <w:pPr>
              <w:spacing w:after="0"/>
              <w:jc w:val="center"/>
              <w:rPr>
                <w:rFonts w:ascii="Times New Roman" w:hAnsi="Times New Roman" w:cs="Times New Roman"/>
                <w:sz w:val="20"/>
                <w:szCs w:val="20"/>
              </w:rPr>
            </w:pPr>
            <w:r>
              <w:rPr>
                <w:rFonts w:ascii="Times New Roman" w:hAnsi="Times New Roman" w:cs="Times New Roman"/>
                <w:sz w:val="20"/>
                <w:szCs w:val="20"/>
              </w:rPr>
              <w:t>50</w:t>
            </w:r>
          </w:p>
        </w:tc>
        <w:tc>
          <w:tcPr>
            <w:tcW w:w="1016" w:type="dxa"/>
            <w:tcBorders>
              <w:top w:val="single" w:sz="6" w:space="0" w:color="auto"/>
              <w:left w:val="single" w:sz="6" w:space="0" w:color="auto"/>
              <w:bottom w:val="single" w:sz="6" w:space="0" w:color="auto"/>
              <w:right w:val="single" w:sz="6" w:space="0" w:color="auto"/>
            </w:tcBorders>
          </w:tcPr>
          <w:p w14:paraId="02D57673" w14:textId="77777777" w:rsidR="00282144" w:rsidRPr="00A6393C" w:rsidRDefault="00282144" w:rsidP="00A6393C">
            <w:pPr>
              <w:spacing w:after="0"/>
              <w:jc w:val="right"/>
              <w:rPr>
                <w:rFonts w:ascii="Times New Roman" w:hAnsi="Times New Roman" w:cs="Times New Roman"/>
                <w:sz w:val="20"/>
                <w:szCs w:val="20"/>
              </w:rPr>
            </w:pPr>
            <w:r>
              <w:rPr>
                <w:rFonts w:ascii="Times New Roman" w:hAnsi="Times New Roman" w:cs="Times New Roman"/>
                <w:sz w:val="20"/>
                <w:szCs w:val="20"/>
              </w:rPr>
              <w:t>$10.40</w:t>
            </w:r>
          </w:p>
        </w:tc>
        <w:tc>
          <w:tcPr>
            <w:tcW w:w="1116" w:type="dxa"/>
            <w:tcBorders>
              <w:top w:val="single" w:sz="6" w:space="0" w:color="auto"/>
              <w:left w:val="single" w:sz="6" w:space="0" w:color="auto"/>
              <w:bottom w:val="single" w:sz="6" w:space="0" w:color="auto"/>
              <w:right w:val="double" w:sz="4" w:space="0" w:color="auto"/>
            </w:tcBorders>
          </w:tcPr>
          <w:p w14:paraId="522DDA37" w14:textId="77777777" w:rsidR="00282144" w:rsidRPr="000452FF" w:rsidRDefault="00282144" w:rsidP="008962F8">
            <w:pPr>
              <w:spacing w:after="0"/>
              <w:jc w:val="right"/>
              <w:rPr>
                <w:rFonts w:ascii="Times New Roman" w:hAnsi="Times New Roman" w:cs="Times New Roman"/>
                <w:sz w:val="20"/>
                <w:szCs w:val="20"/>
              </w:rPr>
            </w:pPr>
            <w:r w:rsidRPr="000452FF">
              <w:rPr>
                <w:rFonts w:ascii="Times New Roman" w:hAnsi="Times New Roman" w:cs="Times New Roman"/>
                <w:sz w:val="20"/>
                <w:szCs w:val="20"/>
              </w:rPr>
              <w:t>$</w:t>
            </w:r>
            <w:r w:rsidR="008962F8" w:rsidRPr="000452FF">
              <w:rPr>
                <w:rFonts w:ascii="Times New Roman" w:hAnsi="Times New Roman" w:cs="Times New Roman"/>
                <w:sz w:val="20"/>
                <w:szCs w:val="20"/>
              </w:rPr>
              <w:t>520</w:t>
            </w:r>
            <w:r w:rsidRPr="000452FF">
              <w:rPr>
                <w:rFonts w:ascii="Times New Roman" w:hAnsi="Times New Roman" w:cs="Times New Roman"/>
                <w:sz w:val="20"/>
                <w:szCs w:val="20"/>
              </w:rPr>
              <w:t>.00</w:t>
            </w:r>
          </w:p>
        </w:tc>
        <w:tc>
          <w:tcPr>
            <w:tcW w:w="1116" w:type="dxa"/>
            <w:tcBorders>
              <w:top w:val="single" w:sz="6" w:space="0" w:color="auto"/>
              <w:left w:val="double" w:sz="4" w:space="0" w:color="auto"/>
              <w:bottom w:val="single" w:sz="6" w:space="0" w:color="auto"/>
              <w:right w:val="double" w:sz="4" w:space="0" w:color="auto"/>
            </w:tcBorders>
          </w:tcPr>
          <w:p w14:paraId="441951EA" w14:textId="77777777" w:rsidR="00282144" w:rsidRDefault="00282144" w:rsidP="005E741E">
            <w:pPr>
              <w:spacing w:after="0"/>
              <w:jc w:val="right"/>
              <w:rPr>
                <w:rFonts w:ascii="Times New Roman" w:hAnsi="Times New Roman" w:cs="Times New Roman"/>
                <w:sz w:val="20"/>
                <w:szCs w:val="20"/>
              </w:rPr>
            </w:pPr>
          </w:p>
        </w:tc>
        <w:tc>
          <w:tcPr>
            <w:tcW w:w="1162" w:type="dxa"/>
            <w:tcBorders>
              <w:top w:val="single" w:sz="6" w:space="0" w:color="auto"/>
              <w:left w:val="double" w:sz="4" w:space="0" w:color="auto"/>
              <w:bottom w:val="single" w:sz="6" w:space="0" w:color="auto"/>
              <w:right w:val="single" w:sz="6" w:space="0" w:color="auto"/>
            </w:tcBorders>
          </w:tcPr>
          <w:p w14:paraId="1A685800" w14:textId="77777777" w:rsidR="00282144" w:rsidRPr="006A0234" w:rsidRDefault="008962F8" w:rsidP="00A6393C">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1038" w:type="dxa"/>
            <w:tcBorders>
              <w:top w:val="single" w:sz="6" w:space="0" w:color="auto"/>
              <w:left w:val="single" w:sz="6" w:space="0" w:color="auto"/>
              <w:bottom w:val="single" w:sz="6" w:space="0" w:color="auto"/>
              <w:right w:val="single" w:sz="6" w:space="0" w:color="auto"/>
            </w:tcBorders>
          </w:tcPr>
          <w:p w14:paraId="3004B13F" w14:textId="77777777" w:rsidR="00282144" w:rsidRPr="006A0234" w:rsidRDefault="00282144" w:rsidP="00A6393C">
            <w:pPr>
              <w:spacing w:after="0"/>
              <w:jc w:val="right"/>
              <w:rPr>
                <w:rFonts w:ascii="Times New Roman" w:hAnsi="Times New Roman" w:cs="Times New Roman"/>
                <w:sz w:val="20"/>
                <w:szCs w:val="20"/>
              </w:rPr>
            </w:pPr>
            <w:r w:rsidRPr="006A0234">
              <w:rPr>
                <w:rFonts w:ascii="Times New Roman" w:hAnsi="Times New Roman" w:cs="Times New Roman"/>
                <w:sz w:val="20"/>
                <w:szCs w:val="20"/>
              </w:rPr>
              <w:t>$10.40</w:t>
            </w:r>
          </w:p>
        </w:tc>
        <w:tc>
          <w:tcPr>
            <w:tcW w:w="1163" w:type="dxa"/>
            <w:tcBorders>
              <w:top w:val="single" w:sz="6" w:space="0" w:color="auto"/>
              <w:left w:val="single" w:sz="6" w:space="0" w:color="auto"/>
              <w:bottom w:val="single" w:sz="6" w:space="0" w:color="auto"/>
              <w:right w:val="double" w:sz="4" w:space="0" w:color="auto"/>
            </w:tcBorders>
          </w:tcPr>
          <w:p w14:paraId="3F108F09" w14:textId="77777777" w:rsidR="00282144" w:rsidRPr="006A0234" w:rsidRDefault="00282144" w:rsidP="008962F8">
            <w:pPr>
              <w:spacing w:after="0"/>
              <w:jc w:val="right"/>
              <w:rPr>
                <w:rFonts w:ascii="Times New Roman" w:hAnsi="Times New Roman" w:cs="Times New Roman"/>
                <w:sz w:val="20"/>
                <w:szCs w:val="20"/>
              </w:rPr>
            </w:pPr>
            <w:r w:rsidRPr="006A0234">
              <w:rPr>
                <w:rFonts w:ascii="Times New Roman" w:hAnsi="Times New Roman" w:cs="Times New Roman"/>
                <w:sz w:val="20"/>
                <w:szCs w:val="20"/>
              </w:rPr>
              <w:t>$1,</w:t>
            </w:r>
            <w:r w:rsidR="008962F8">
              <w:rPr>
                <w:rFonts w:ascii="Times New Roman" w:hAnsi="Times New Roman" w:cs="Times New Roman"/>
                <w:sz w:val="20"/>
                <w:szCs w:val="20"/>
              </w:rPr>
              <w:t>040</w:t>
            </w:r>
            <w:r w:rsidRPr="006A0234">
              <w:rPr>
                <w:rFonts w:ascii="Times New Roman" w:hAnsi="Times New Roman" w:cs="Times New Roman"/>
                <w:sz w:val="20"/>
                <w:szCs w:val="20"/>
              </w:rPr>
              <w:t>.00</w:t>
            </w:r>
          </w:p>
        </w:tc>
        <w:tc>
          <w:tcPr>
            <w:tcW w:w="1143" w:type="dxa"/>
            <w:tcBorders>
              <w:top w:val="single" w:sz="6" w:space="0" w:color="auto"/>
              <w:left w:val="single" w:sz="6" w:space="0" w:color="auto"/>
              <w:bottom w:val="single" w:sz="6" w:space="0" w:color="auto"/>
              <w:right w:val="double" w:sz="4" w:space="0" w:color="auto"/>
            </w:tcBorders>
          </w:tcPr>
          <w:p w14:paraId="794C1B3E" w14:textId="77777777" w:rsidR="00282144" w:rsidRDefault="00282144" w:rsidP="005E741E">
            <w:pPr>
              <w:spacing w:after="0"/>
              <w:jc w:val="right"/>
              <w:rPr>
                <w:rFonts w:ascii="Times New Roman" w:hAnsi="Times New Roman" w:cs="Times New Roman"/>
                <w:sz w:val="20"/>
                <w:szCs w:val="20"/>
              </w:rPr>
            </w:pPr>
          </w:p>
        </w:tc>
      </w:tr>
      <w:tr w:rsidR="009B6B42" w14:paraId="36200CAB" w14:textId="77777777" w:rsidTr="009B6B42">
        <w:tc>
          <w:tcPr>
            <w:tcW w:w="4347" w:type="dxa"/>
            <w:tcBorders>
              <w:top w:val="single" w:sz="6" w:space="0" w:color="auto"/>
              <w:left w:val="double" w:sz="4" w:space="0" w:color="auto"/>
              <w:bottom w:val="single" w:sz="6" w:space="0" w:color="auto"/>
              <w:right w:val="double" w:sz="4" w:space="0" w:color="auto"/>
            </w:tcBorders>
          </w:tcPr>
          <w:p w14:paraId="4FC32AC9" w14:textId="77777777" w:rsidR="009B6B42" w:rsidRDefault="009B6B42" w:rsidP="009B6B42">
            <w:pPr>
              <w:spacing w:after="0"/>
              <w:rPr>
                <w:rFonts w:ascii="Times New Roman" w:hAnsi="Times New Roman" w:cs="Times New Roman"/>
                <w:sz w:val="20"/>
                <w:szCs w:val="20"/>
              </w:rPr>
            </w:pPr>
            <w:r>
              <w:rPr>
                <w:rFonts w:ascii="Times New Roman" w:hAnsi="Times New Roman" w:cs="Times New Roman"/>
                <w:sz w:val="20"/>
                <w:szCs w:val="20"/>
              </w:rPr>
              <w:t>Year 1 – initial water analysis</w:t>
            </w:r>
          </w:p>
        </w:tc>
        <w:tc>
          <w:tcPr>
            <w:tcW w:w="1075" w:type="dxa"/>
            <w:tcBorders>
              <w:top w:val="single" w:sz="6" w:space="0" w:color="auto"/>
              <w:left w:val="double" w:sz="4" w:space="0" w:color="auto"/>
              <w:bottom w:val="single" w:sz="6" w:space="0" w:color="auto"/>
              <w:right w:val="single" w:sz="6" w:space="0" w:color="auto"/>
            </w:tcBorders>
          </w:tcPr>
          <w:p w14:paraId="0D4D4CB2" w14:textId="77777777" w:rsidR="009B6B42" w:rsidRDefault="009B6B42" w:rsidP="00A6393C">
            <w:pPr>
              <w:spacing w:after="0"/>
              <w:jc w:val="center"/>
              <w:rPr>
                <w:rFonts w:ascii="Times New Roman" w:hAnsi="Times New Roman" w:cs="Times New Roman"/>
                <w:sz w:val="20"/>
                <w:szCs w:val="20"/>
              </w:rPr>
            </w:pPr>
            <w:r>
              <w:rPr>
                <w:rFonts w:ascii="Times New Roman" w:hAnsi="Times New Roman" w:cs="Times New Roman"/>
                <w:sz w:val="20"/>
                <w:szCs w:val="20"/>
              </w:rPr>
              <w:t>50</w:t>
            </w:r>
          </w:p>
        </w:tc>
        <w:tc>
          <w:tcPr>
            <w:tcW w:w="1016" w:type="dxa"/>
            <w:tcBorders>
              <w:top w:val="single" w:sz="6" w:space="0" w:color="auto"/>
              <w:left w:val="single" w:sz="6" w:space="0" w:color="auto"/>
              <w:bottom w:val="single" w:sz="6" w:space="0" w:color="auto"/>
              <w:right w:val="single" w:sz="6" w:space="0" w:color="auto"/>
            </w:tcBorders>
          </w:tcPr>
          <w:p w14:paraId="6983FCD0" w14:textId="77777777" w:rsidR="009B6B42" w:rsidRDefault="009B6B42" w:rsidP="00A6393C">
            <w:pPr>
              <w:spacing w:after="0"/>
              <w:jc w:val="right"/>
              <w:rPr>
                <w:rFonts w:ascii="Times New Roman" w:hAnsi="Times New Roman" w:cs="Times New Roman"/>
                <w:sz w:val="20"/>
                <w:szCs w:val="20"/>
              </w:rPr>
            </w:pPr>
            <w:r>
              <w:rPr>
                <w:rFonts w:ascii="Times New Roman" w:hAnsi="Times New Roman" w:cs="Times New Roman"/>
                <w:sz w:val="20"/>
                <w:szCs w:val="20"/>
              </w:rPr>
              <w:t>$15.11</w:t>
            </w:r>
          </w:p>
        </w:tc>
        <w:tc>
          <w:tcPr>
            <w:tcW w:w="1116" w:type="dxa"/>
            <w:tcBorders>
              <w:top w:val="single" w:sz="6" w:space="0" w:color="auto"/>
              <w:left w:val="single" w:sz="6" w:space="0" w:color="auto"/>
              <w:bottom w:val="single" w:sz="6" w:space="0" w:color="auto"/>
              <w:right w:val="double" w:sz="4" w:space="0" w:color="auto"/>
            </w:tcBorders>
          </w:tcPr>
          <w:p w14:paraId="0786A197" w14:textId="77777777" w:rsidR="009B6B42" w:rsidRPr="009B6B42" w:rsidRDefault="009B6B42" w:rsidP="008962F8">
            <w:pPr>
              <w:spacing w:after="0"/>
              <w:jc w:val="right"/>
              <w:rPr>
                <w:rFonts w:ascii="Times New Roman" w:hAnsi="Times New Roman" w:cs="Times New Roman"/>
                <w:sz w:val="20"/>
                <w:szCs w:val="20"/>
              </w:rPr>
            </w:pPr>
            <w:r w:rsidRPr="009B6B42">
              <w:rPr>
                <w:rFonts w:ascii="Times New Roman" w:hAnsi="Times New Roman" w:cs="Times New Roman"/>
                <w:sz w:val="20"/>
                <w:szCs w:val="20"/>
              </w:rPr>
              <w:t>$755.50</w:t>
            </w:r>
          </w:p>
        </w:tc>
        <w:tc>
          <w:tcPr>
            <w:tcW w:w="1116" w:type="dxa"/>
            <w:tcBorders>
              <w:top w:val="single" w:sz="6" w:space="0" w:color="auto"/>
              <w:left w:val="double" w:sz="4" w:space="0" w:color="auto"/>
              <w:bottom w:val="single" w:sz="6" w:space="0" w:color="auto"/>
              <w:right w:val="double" w:sz="4" w:space="0" w:color="auto"/>
            </w:tcBorders>
          </w:tcPr>
          <w:p w14:paraId="52F1D228" w14:textId="77777777" w:rsidR="009B6B42" w:rsidRDefault="009B6B42" w:rsidP="005E741E">
            <w:pPr>
              <w:spacing w:after="0"/>
              <w:jc w:val="right"/>
              <w:rPr>
                <w:rFonts w:ascii="Times New Roman" w:hAnsi="Times New Roman" w:cs="Times New Roman"/>
                <w:sz w:val="20"/>
                <w:szCs w:val="20"/>
              </w:rPr>
            </w:pPr>
          </w:p>
        </w:tc>
        <w:tc>
          <w:tcPr>
            <w:tcW w:w="1162" w:type="dxa"/>
            <w:tcBorders>
              <w:top w:val="single" w:sz="6" w:space="0" w:color="auto"/>
              <w:left w:val="double" w:sz="4" w:space="0" w:color="auto"/>
              <w:bottom w:val="single" w:sz="6" w:space="0" w:color="auto"/>
              <w:right w:val="single" w:sz="6" w:space="0" w:color="auto"/>
            </w:tcBorders>
          </w:tcPr>
          <w:p w14:paraId="22181A21" w14:textId="77777777" w:rsidR="009B6B42" w:rsidRDefault="009B6B42" w:rsidP="00A6393C">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1038" w:type="dxa"/>
            <w:tcBorders>
              <w:top w:val="single" w:sz="6" w:space="0" w:color="auto"/>
              <w:left w:val="single" w:sz="6" w:space="0" w:color="auto"/>
              <w:bottom w:val="single" w:sz="6" w:space="0" w:color="auto"/>
              <w:right w:val="single" w:sz="6" w:space="0" w:color="auto"/>
            </w:tcBorders>
          </w:tcPr>
          <w:p w14:paraId="11AF366A" w14:textId="77777777" w:rsidR="009B6B42" w:rsidRPr="006A0234" w:rsidRDefault="009B6B42" w:rsidP="00A6393C">
            <w:pPr>
              <w:spacing w:after="0"/>
              <w:jc w:val="right"/>
              <w:rPr>
                <w:rFonts w:ascii="Times New Roman" w:hAnsi="Times New Roman" w:cs="Times New Roman"/>
                <w:sz w:val="20"/>
                <w:szCs w:val="20"/>
              </w:rPr>
            </w:pPr>
            <w:r>
              <w:rPr>
                <w:rFonts w:ascii="Times New Roman" w:hAnsi="Times New Roman" w:cs="Times New Roman"/>
                <w:sz w:val="20"/>
                <w:szCs w:val="20"/>
              </w:rPr>
              <w:t>$15.11</w:t>
            </w:r>
          </w:p>
        </w:tc>
        <w:tc>
          <w:tcPr>
            <w:tcW w:w="1163" w:type="dxa"/>
            <w:tcBorders>
              <w:top w:val="single" w:sz="6" w:space="0" w:color="auto"/>
              <w:left w:val="single" w:sz="6" w:space="0" w:color="auto"/>
              <w:bottom w:val="single" w:sz="6" w:space="0" w:color="auto"/>
              <w:right w:val="double" w:sz="4" w:space="0" w:color="auto"/>
            </w:tcBorders>
          </w:tcPr>
          <w:p w14:paraId="09C72C7F" w14:textId="77777777" w:rsidR="009B6B42" w:rsidRPr="009B6B42" w:rsidRDefault="009B6B42" w:rsidP="00A6393C">
            <w:pPr>
              <w:spacing w:after="0"/>
              <w:jc w:val="right"/>
              <w:rPr>
                <w:rFonts w:ascii="Times New Roman" w:hAnsi="Times New Roman" w:cs="Times New Roman"/>
                <w:sz w:val="20"/>
                <w:szCs w:val="20"/>
              </w:rPr>
            </w:pPr>
            <w:r w:rsidRPr="009B6B42">
              <w:rPr>
                <w:rFonts w:ascii="Times New Roman" w:hAnsi="Times New Roman" w:cs="Times New Roman"/>
                <w:sz w:val="20"/>
                <w:szCs w:val="20"/>
              </w:rPr>
              <w:t>$1,511.00</w:t>
            </w:r>
          </w:p>
        </w:tc>
        <w:tc>
          <w:tcPr>
            <w:tcW w:w="1143" w:type="dxa"/>
            <w:tcBorders>
              <w:top w:val="single" w:sz="6" w:space="0" w:color="auto"/>
              <w:left w:val="single" w:sz="6" w:space="0" w:color="auto"/>
              <w:bottom w:val="single" w:sz="6" w:space="0" w:color="auto"/>
              <w:right w:val="double" w:sz="4" w:space="0" w:color="auto"/>
            </w:tcBorders>
          </w:tcPr>
          <w:p w14:paraId="3902A927" w14:textId="77777777" w:rsidR="009B6B42" w:rsidRDefault="009B6B42" w:rsidP="005E741E">
            <w:pPr>
              <w:spacing w:after="0"/>
              <w:jc w:val="right"/>
              <w:rPr>
                <w:rFonts w:ascii="Times New Roman" w:hAnsi="Times New Roman" w:cs="Times New Roman"/>
                <w:sz w:val="20"/>
                <w:szCs w:val="20"/>
              </w:rPr>
            </w:pPr>
          </w:p>
        </w:tc>
      </w:tr>
      <w:tr w:rsidR="009B6B42" w14:paraId="7B25A5CE" w14:textId="77777777" w:rsidTr="009B6B42">
        <w:tc>
          <w:tcPr>
            <w:tcW w:w="4347" w:type="dxa"/>
            <w:tcBorders>
              <w:top w:val="single" w:sz="6" w:space="0" w:color="auto"/>
              <w:left w:val="double" w:sz="4" w:space="0" w:color="auto"/>
              <w:bottom w:val="single" w:sz="6" w:space="0" w:color="auto"/>
              <w:right w:val="double" w:sz="4" w:space="0" w:color="auto"/>
            </w:tcBorders>
          </w:tcPr>
          <w:p w14:paraId="0692CB40" w14:textId="77777777" w:rsidR="00282144" w:rsidRPr="00B11F4E" w:rsidRDefault="009B6B42" w:rsidP="00B11F4E">
            <w:pPr>
              <w:spacing w:after="0"/>
              <w:rPr>
                <w:rFonts w:ascii="Times New Roman" w:hAnsi="Times New Roman" w:cs="Times New Roman"/>
                <w:sz w:val="20"/>
                <w:szCs w:val="20"/>
              </w:rPr>
            </w:pPr>
            <w:r>
              <w:rPr>
                <w:rFonts w:ascii="Times New Roman" w:hAnsi="Times New Roman" w:cs="Times New Roman"/>
                <w:sz w:val="20"/>
                <w:szCs w:val="20"/>
              </w:rPr>
              <w:t>Year 1 – second hay/browse analysis</w:t>
            </w:r>
          </w:p>
        </w:tc>
        <w:tc>
          <w:tcPr>
            <w:tcW w:w="1075" w:type="dxa"/>
            <w:tcBorders>
              <w:top w:val="single" w:sz="6" w:space="0" w:color="auto"/>
              <w:left w:val="double" w:sz="4" w:space="0" w:color="auto"/>
              <w:bottom w:val="single" w:sz="6" w:space="0" w:color="auto"/>
              <w:right w:val="single" w:sz="6" w:space="0" w:color="auto"/>
            </w:tcBorders>
          </w:tcPr>
          <w:p w14:paraId="488C0288" w14:textId="77777777" w:rsidR="00282144" w:rsidRDefault="008962F8" w:rsidP="00A6393C">
            <w:pPr>
              <w:spacing w:after="0"/>
              <w:jc w:val="center"/>
              <w:rPr>
                <w:rFonts w:ascii="Times New Roman" w:hAnsi="Times New Roman" w:cs="Times New Roman"/>
                <w:sz w:val="20"/>
                <w:szCs w:val="20"/>
              </w:rPr>
            </w:pPr>
            <w:r>
              <w:rPr>
                <w:rFonts w:ascii="Times New Roman" w:hAnsi="Times New Roman" w:cs="Times New Roman"/>
                <w:sz w:val="20"/>
                <w:szCs w:val="20"/>
              </w:rPr>
              <w:t>50</w:t>
            </w:r>
          </w:p>
        </w:tc>
        <w:tc>
          <w:tcPr>
            <w:tcW w:w="1016" w:type="dxa"/>
            <w:tcBorders>
              <w:top w:val="single" w:sz="6" w:space="0" w:color="auto"/>
              <w:left w:val="single" w:sz="6" w:space="0" w:color="auto"/>
              <w:bottom w:val="single" w:sz="6" w:space="0" w:color="auto"/>
              <w:right w:val="single" w:sz="6" w:space="0" w:color="auto"/>
            </w:tcBorders>
          </w:tcPr>
          <w:p w14:paraId="3E4A02A8" w14:textId="77777777" w:rsidR="00282144" w:rsidRDefault="00282144" w:rsidP="009B6B42">
            <w:pPr>
              <w:spacing w:after="0"/>
              <w:jc w:val="right"/>
              <w:rPr>
                <w:rFonts w:ascii="Times New Roman" w:hAnsi="Times New Roman" w:cs="Times New Roman"/>
                <w:sz w:val="20"/>
                <w:szCs w:val="20"/>
              </w:rPr>
            </w:pPr>
            <w:r>
              <w:rPr>
                <w:rFonts w:ascii="Times New Roman" w:hAnsi="Times New Roman" w:cs="Times New Roman"/>
                <w:sz w:val="20"/>
                <w:szCs w:val="20"/>
              </w:rPr>
              <w:t>$</w:t>
            </w:r>
            <w:r w:rsidR="009B6B42">
              <w:rPr>
                <w:rFonts w:ascii="Times New Roman" w:hAnsi="Times New Roman" w:cs="Times New Roman"/>
                <w:sz w:val="20"/>
                <w:szCs w:val="20"/>
              </w:rPr>
              <w:t>10.40</w:t>
            </w:r>
          </w:p>
        </w:tc>
        <w:tc>
          <w:tcPr>
            <w:tcW w:w="1116" w:type="dxa"/>
            <w:tcBorders>
              <w:top w:val="single" w:sz="6" w:space="0" w:color="auto"/>
              <w:left w:val="single" w:sz="6" w:space="0" w:color="auto"/>
              <w:bottom w:val="single" w:sz="6" w:space="0" w:color="auto"/>
              <w:right w:val="double" w:sz="4" w:space="0" w:color="auto"/>
            </w:tcBorders>
          </w:tcPr>
          <w:p w14:paraId="3854CC69" w14:textId="77777777" w:rsidR="00282144" w:rsidRPr="00F039C5" w:rsidRDefault="00282144" w:rsidP="009B6B42">
            <w:pPr>
              <w:spacing w:after="0"/>
              <w:jc w:val="right"/>
              <w:rPr>
                <w:rFonts w:ascii="Times New Roman" w:hAnsi="Times New Roman" w:cs="Times New Roman"/>
                <w:sz w:val="20"/>
                <w:szCs w:val="20"/>
                <w:u w:val="double"/>
              </w:rPr>
            </w:pPr>
            <w:r w:rsidRPr="00F039C5">
              <w:rPr>
                <w:rFonts w:ascii="Times New Roman" w:hAnsi="Times New Roman" w:cs="Times New Roman"/>
                <w:sz w:val="20"/>
                <w:szCs w:val="20"/>
                <w:u w:val="double"/>
              </w:rPr>
              <w:t>$</w:t>
            </w:r>
            <w:r w:rsidR="009B6B42">
              <w:rPr>
                <w:rFonts w:ascii="Times New Roman" w:hAnsi="Times New Roman" w:cs="Times New Roman"/>
                <w:sz w:val="20"/>
                <w:szCs w:val="20"/>
                <w:u w:val="double"/>
              </w:rPr>
              <w:t>520.0</w:t>
            </w:r>
            <w:r w:rsidR="008962F8">
              <w:rPr>
                <w:rFonts w:ascii="Times New Roman" w:hAnsi="Times New Roman" w:cs="Times New Roman"/>
                <w:sz w:val="20"/>
                <w:szCs w:val="20"/>
                <w:u w:val="double"/>
              </w:rPr>
              <w:t>0</w:t>
            </w:r>
          </w:p>
        </w:tc>
        <w:tc>
          <w:tcPr>
            <w:tcW w:w="1116" w:type="dxa"/>
            <w:tcBorders>
              <w:top w:val="single" w:sz="6" w:space="0" w:color="auto"/>
              <w:left w:val="double" w:sz="4" w:space="0" w:color="auto"/>
              <w:bottom w:val="single" w:sz="6" w:space="0" w:color="auto"/>
              <w:right w:val="double" w:sz="4" w:space="0" w:color="auto"/>
            </w:tcBorders>
          </w:tcPr>
          <w:p w14:paraId="2832A8C5" w14:textId="77777777" w:rsidR="00282144" w:rsidRDefault="00282144" w:rsidP="005E741E">
            <w:pPr>
              <w:spacing w:after="0"/>
              <w:jc w:val="right"/>
              <w:rPr>
                <w:rFonts w:ascii="Times New Roman" w:hAnsi="Times New Roman" w:cs="Times New Roman"/>
                <w:sz w:val="20"/>
                <w:szCs w:val="20"/>
              </w:rPr>
            </w:pPr>
          </w:p>
        </w:tc>
        <w:tc>
          <w:tcPr>
            <w:tcW w:w="1162" w:type="dxa"/>
            <w:tcBorders>
              <w:top w:val="single" w:sz="6" w:space="0" w:color="auto"/>
              <w:left w:val="double" w:sz="4" w:space="0" w:color="auto"/>
              <w:bottom w:val="single" w:sz="6" w:space="0" w:color="auto"/>
              <w:right w:val="single" w:sz="6" w:space="0" w:color="auto"/>
            </w:tcBorders>
          </w:tcPr>
          <w:p w14:paraId="3A815220" w14:textId="77777777" w:rsidR="00282144" w:rsidRPr="006A0234" w:rsidRDefault="008962F8" w:rsidP="00A6393C">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1038" w:type="dxa"/>
            <w:tcBorders>
              <w:top w:val="single" w:sz="6" w:space="0" w:color="auto"/>
              <w:left w:val="single" w:sz="6" w:space="0" w:color="auto"/>
              <w:bottom w:val="single" w:sz="6" w:space="0" w:color="auto"/>
              <w:right w:val="single" w:sz="6" w:space="0" w:color="auto"/>
            </w:tcBorders>
          </w:tcPr>
          <w:p w14:paraId="0E38772F" w14:textId="77777777" w:rsidR="00282144" w:rsidRPr="006A0234" w:rsidRDefault="00282144" w:rsidP="009B6B42">
            <w:pPr>
              <w:spacing w:after="0"/>
              <w:jc w:val="right"/>
              <w:rPr>
                <w:rFonts w:ascii="Times New Roman" w:hAnsi="Times New Roman" w:cs="Times New Roman"/>
                <w:sz w:val="20"/>
                <w:szCs w:val="20"/>
              </w:rPr>
            </w:pPr>
            <w:r w:rsidRPr="006A0234">
              <w:rPr>
                <w:rFonts w:ascii="Times New Roman" w:hAnsi="Times New Roman" w:cs="Times New Roman"/>
                <w:sz w:val="20"/>
                <w:szCs w:val="20"/>
              </w:rPr>
              <w:t>$</w:t>
            </w:r>
            <w:r w:rsidR="009B6B42">
              <w:rPr>
                <w:rFonts w:ascii="Times New Roman" w:hAnsi="Times New Roman" w:cs="Times New Roman"/>
                <w:sz w:val="20"/>
                <w:szCs w:val="20"/>
              </w:rPr>
              <w:t>10.40</w:t>
            </w:r>
          </w:p>
        </w:tc>
        <w:tc>
          <w:tcPr>
            <w:tcW w:w="1163" w:type="dxa"/>
            <w:tcBorders>
              <w:top w:val="single" w:sz="6" w:space="0" w:color="auto"/>
              <w:left w:val="single" w:sz="6" w:space="0" w:color="auto"/>
              <w:bottom w:val="single" w:sz="6" w:space="0" w:color="auto"/>
              <w:right w:val="double" w:sz="4" w:space="0" w:color="auto"/>
            </w:tcBorders>
          </w:tcPr>
          <w:p w14:paraId="27410C95" w14:textId="77777777" w:rsidR="00282144" w:rsidRPr="000452FF" w:rsidRDefault="008962F8" w:rsidP="009B6B42">
            <w:pPr>
              <w:spacing w:after="0"/>
              <w:jc w:val="right"/>
              <w:rPr>
                <w:rFonts w:ascii="Times New Roman" w:hAnsi="Times New Roman" w:cs="Times New Roman"/>
                <w:sz w:val="20"/>
                <w:szCs w:val="20"/>
                <w:u w:val="double"/>
              </w:rPr>
            </w:pPr>
            <w:r w:rsidRPr="000452FF">
              <w:rPr>
                <w:rFonts w:ascii="Times New Roman" w:hAnsi="Times New Roman" w:cs="Times New Roman"/>
                <w:sz w:val="20"/>
                <w:szCs w:val="20"/>
                <w:u w:val="double"/>
              </w:rPr>
              <w:t>$1</w:t>
            </w:r>
            <w:r w:rsidR="009B6B42">
              <w:rPr>
                <w:rFonts w:ascii="Times New Roman" w:hAnsi="Times New Roman" w:cs="Times New Roman"/>
                <w:sz w:val="20"/>
                <w:szCs w:val="20"/>
                <w:u w:val="double"/>
              </w:rPr>
              <w:t>,040</w:t>
            </w:r>
            <w:r w:rsidRPr="000452FF">
              <w:rPr>
                <w:rFonts w:ascii="Times New Roman" w:hAnsi="Times New Roman" w:cs="Times New Roman"/>
                <w:sz w:val="20"/>
                <w:szCs w:val="20"/>
                <w:u w:val="double"/>
              </w:rPr>
              <w:t>.00</w:t>
            </w:r>
          </w:p>
        </w:tc>
        <w:tc>
          <w:tcPr>
            <w:tcW w:w="1143" w:type="dxa"/>
            <w:tcBorders>
              <w:top w:val="single" w:sz="6" w:space="0" w:color="auto"/>
              <w:left w:val="single" w:sz="6" w:space="0" w:color="auto"/>
              <w:bottom w:val="single" w:sz="6" w:space="0" w:color="auto"/>
              <w:right w:val="double" w:sz="4" w:space="0" w:color="auto"/>
            </w:tcBorders>
          </w:tcPr>
          <w:p w14:paraId="058C870D" w14:textId="77777777" w:rsidR="00282144" w:rsidRDefault="00282144" w:rsidP="005E741E">
            <w:pPr>
              <w:spacing w:after="0"/>
              <w:jc w:val="right"/>
              <w:rPr>
                <w:rFonts w:ascii="Times New Roman" w:hAnsi="Times New Roman" w:cs="Times New Roman"/>
                <w:sz w:val="20"/>
                <w:szCs w:val="20"/>
              </w:rPr>
            </w:pPr>
          </w:p>
        </w:tc>
      </w:tr>
      <w:tr w:rsidR="009B6B42" w14:paraId="0A5379A4" w14:textId="77777777" w:rsidTr="009B6B42">
        <w:tc>
          <w:tcPr>
            <w:tcW w:w="4347" w:type="dxa"/>
            <w:tcBorders>
              <w:top w:val="single" w:sz="6" w:space="0" w:color="auto"/>
              <w:left w:val="double" w:sz="4" w:space="0" w:color="auto"/>
              <w:bottom w:val="single" w:sz="6" w:space="0" w:color="auto"/>
              <w:right w:val="double" w:sz="4" w:space="0" w:color="auto"/>
            </w:tcBorders>
          </w:tcPr>
          <w:p w14:paraId="6E56D6DB" w14:textId="77777777" w:rsidR="00282144" w:rsidRDefault="00282144" w:rsidP="00806AF8">
            <w:pPr>
              <w:spacing w:after="0"/>
              <w:jc w:val="right"/>
              <w:rPr>
                <w:rFonts w:ascii="Times New Roman" w:hAnsi="Times New Roman" w:cs="Times New Roman"/>
                <w:sz w:val="20"/>
                <w:szCs w:val="20"/>
              </w:rPr>
            </w:pPr>
          </w:p>
        </w:tc>
        <w:tc>
          <w:tcPr>
            <w:tcW w:w="1075" w:type="dxa"/>
            <w:tcBorders>
              <w:top w:val="single" w:sz="6" w:space="0" w:color="auto"/>
              <w:left w:val="double" w:sz="4" w:space="0" w:color="auto"/>
              <w:bottom w:val="single" w:sz="6" w:space="0" w:color="auto"/>
              <w:right w:val="single" w:sz="6" w:space="0" w:color="auto"/>
            </w:tcBorders>
          </w:tcPr>
          <w:p w14:paraId="147D75B0" w14:textId="77777777" w:rsidR="00282144" w:rsidRDefault="00282144" w:rsidP="00A6393C">
            <w:pPr>
              <w:spacing w:after="0"/>
              <w:jc w:val="center"/>
              <w:rPr>
                <w:rFonts w:ascii="Times New Roman" w:hAnsi="Times New Roman" w:cs="Times New Roman"/>
                <w:sz w:val="20"/>
                <w:szCs w:val="20"/>
              </w:rPr>
            </w:pPr>
          </w:p>
        </w:tc>
        <w:tc>
          <w:tcPr>
            <w:tcW w:w="1016" w:type="dxa"/>
            <w:tcBorders>
              <w:top w:val="single" w:sz="6" w:space="0" w:color="auto"/>
              <w:left w:val="single" w:sz="6" w:space="0" w:color="auto"/>
              <w:bottom w:val="single" w:sz="6" w:space="0" w:color="auto"/>
              <w:right w:val="single" w:sz="6" w:space="0" w:color="auto"/>
            </w:tcBorders>
          </w:tcPr>
          <w:p w14:paraId="2C18AA98" w14:textId="77777777" w:rsidR="00282144" w:rsidRDefault="00282144" w:rsidP="00A6393C">
            <w:pPr>
              <w:spacing w:after="0"/>
              <w:jc w:val="right"/>
              <w:rPr>
                <w:rFonts w:ascii="Times New Roman" w:hAnsi="Times New Roman" w:cs="Times New Roman"/>
                <w:sz w:val="20"/>
                <w:szCs w:val="20"/>
              </w:rPr>
            </w:pPr>
          </w:p>
        </w:tc>
        <w:tc>
          <w:tcPr>
            <w:tcW w:w="1116" w:type="dxa"/>
            <w:tcBorders>
              <w:top w:val="single" w:sz="6" w:space="0" w:color="auto"/>
              <w:left w:val="single" w:sz="6" w:space="0" w:color="auto"/>
              <w:bottom w:val="single" w:sz="6" w:space="0" w:color="auto"/>
              <w:right w:val="double" w:sz="4" w:space="0" w:color="auto"/>
            </w:tcBorders>
          </w:tcPr>
          <w:p w14:paraId="495551E6" w14:textId="77777777" w:rsidR="00282144" w:rsidRPr="00282144" w:rsidRDefault="00282144" w:rsidP="005E741E">
            <w:pPr>
              <w:spacing w:after="0"/>
              <w:jc w:val="right"/>
              <w:rPr>
                <w:rFonts w:ascii="Times New Roman" w:hAnsi="Times New Roman" w:cs="Times New Roman"/>
                <w:b/>
                <w:sz w:val="20"/>
                <w:szCs w:val="20"/>
              </w:rPr>
            </w:pPr>
          </w:p>
        </w:tc>
        <w:tc>
          <w:tcPr>
            <w:tcW w:w="1116" w:type="dxa"/>
            <w:tcBorders>
              <w:top w:val="single" w:sz="6" w:space="0" w:color="auto"/>
              <w:left w:val="double" w:sz="4" w:space="0" w:color="auto"/>
              <w:bottom w:val="single" w:sz="6" w:space="0" w:color="auto"/>
              <w:right w:val="double" w:sz="4" w:space="0" w:color="auto"/>
            </w:tcBorders>
          </w:tcPr>
          <w:p w14:paraId="6933C5BC" w14:textId="77777777" w:rsidR="00282144" w:rsidRDefault="00282144" w:rsidP="009B6B42">
            <w:pPr>
              <w:spacing w:after="0"/>
              <w:jc w:val="right"/>
              <w:rPr>
                <w:rFonts w:ascii="Times New Roman" w:hAnsi="Times New Roman" w:cs="Times New Roman"/>
                <w:sz w:val="20"/>
                <w:szCs w:val="20"/>
              </w:rPr>
            </w:pPr>
            <w:r>
              <w:rPr>
                <w:rFonts w:ascii="Times New Roman" w:hAnsi="Times New Roman" w:cs="Times New Roman"/>
                <w:b/>
                <w:sz w:val="20"/>
                <w:szCs w:val="20"/>
              </w:rPr>
              <w:t>$1</w:t>
            </w:r>
            <w:r w:rsidR="008962F8">
              <w:rPr>
                <w:rFonts w:ascii="Times New Roman" w:hAnsi="Times New Roman" w:cs="Times New Roman"/>
                <w:b/>
                <w:sz w:val="20"/>
                <w:szCs w:val="20"/>
              </w:rPr>
              <w:t>,</w:t>
            </w:r>
            <w:r w:rsidR="009B6B42">
              <w:rPr>
                <w:rFonts w:ascii="Times New Roman" w:hAnsi="Times New Roman" w:cs="Times New Roman"/>
                <w:b/>
                <w:sz w:val="20"/>
                <w:szCs w:val="20"/>
              </w:rPr>
              <w:t>79</w:t>
            </w:r>
            <w:r w:rsidR="008962F8">
              <w:rPr>
                <w:rFonts w:ascii="Times New Roman" w:hAnsi="Times New Roman" w:cs="Times New Roman"/>
                <w:b/>
                <w:sz w:val="20"/>
                <w:szCs w:val="20"/>
              </w:rPr>
              <w:t>5.50</w:t>
            </w:r>
          </w:p>
        </w:tc>
        <w:tc>
          <w:tcPr>
            <w:tcW w:w="1162" w:type="dxa"/>
            <w:tcBorders>
              <w:top w:val="single" w:sz="6" w:space="0" w:color="auto"/>
              <w:left w:val="double" w:sz="4" w:space="0" w:color="auto"/>
              <w:bottom w:val="single" w:sz="6" w:space="0" w:color="auto"/>
              <w:right w:val="single" w:sz="6" w:space="0" w:color="auto"/>
            </w:tcBorders>
          </w:tcPr>
          <w:p w14:paraId="0235ADB2" w14:textId="77777777" w:rsidR="00282144" w:rsidRDefault="00282144" w:rsidP="00A6393C">
            <w:pPr>
              <w:spacing w:after="0"/>
              <w:jc w:val="center"/>
              <w:rPr>
                <w:rFonts w:ascii="Times New Roman" w:hAnsi="Times New Roman" w:cs="Times New Roman"/>
                <w:sz w:val="20"/>
                <w:szCs w:val="20"/>
              </w:rPr>
            </w:pPr>
          </w:p>
        </w:tc>
        <w:tc>
          <w:tcPr>
            <w:tcW w:w="1038" w:type="dxa"/>
            <w:tcBorders>
              <w:top w:val="single" w:sz="6" w:space="0" w:color="auto"/>
              <w:left w:val="single" w:sz="6" w:space="0" w:color="auto"/>
              <w:bottom w:val="single" w:sz="6" w:space="0" w:color="auto"/>
              <w:right w:val="single" w:sz="6" w:space="0" w:color="auto"/>
            </w:tcBorders>
          </w:tcPr>
          <w:p w14:paraId="60552475" w14:textId="77777777" w:rsidR="00282144" w:rsidRDefault="00282144" w:rsidP="00A6393C">
            <w:pPr>
              <w:spacing w:after="0"/>
              <w:jc w:val="right"/>
              <w:rPr>
                <w:rFonts w:ascii="Times New Roman" w:hAnsi="Times New Roman" w:cs="Times New Roman"/>
                <w:sz w:val="20"/>
                <w:szCs w:val="20"/>
              </w:rPr>
            </w:pPr>
          </w:p>
        </w:tc>
        <w:tc>
          <w:tcPr>
            <w:tcW w:w="1163" w:type="dxa"/>
            <w:tcBorders>
              <w:top w:val="single" w:sz="6" w:space="0" w:color="auto"/>
              <w:left w:val="single" w:sz="6" w:space="0" w:color="auto"/>
              <w:bottom w:val="single" w:sz="6" w:space="0" w:color="auto"/>
              <w:right w:val="double" w:sz="4" w:space="0" w:color="auto"/>
            </w:tcBorders>
          </w:tcPr>
          <w:p w14:paraId="3D648F72" w14:textId="77777777" w:rsidR="00282144" w:rsidRPr="00282144" w:rsidRDefault="00282144" w:rsidP="00A6393C">
            <w:pPr>
              <w:spacing w:after="0"/>
              <w:jc w:val="right"/>
              <w:rPr>
                <w:rFonts w:ascii="Times New Roman" w:hAnsi="Times New Roman" w:cs="Times New Roman"/>
                <w:b/>
                <w:sz w:val="20"/>
                <w:szCs w:val="20"/>
              </w:rPr>
            </w:pPr>
          </w:p>
        </w:tc>
        <w:tc>
          <w:tcPr>
            <w:tcW w:w="1143" w:type="dxa"/>
            <w:tcBorders>
              <w:top w:val="single" w:sz="6" w:space="0" w:color="auto"/>
              <w:left w:val="single" w:sz="6" w:space="0" w:color="auto"/>
              <w:bottom w:val="single" w:sz="6" w:space="0" w:color="auto"/>
              <w:right w:val="double" w:sz="4" w:space="0" w:color="auto"/>
            </w:tcBorders>
          </w:tcPr>
          <w:p w14:paraId="55DFEB52" w14:textId="77777777" w:rsidR="00282144" w:rsidRDefault="008962F8" w:rsidP="009B6B42">
            <w:pPr>
              <w:spacing w:after="0"/>
              <w:jc w:val="right"/>
              <w:rPr>
                <w:rFonts w:ascii="Times New Roman" w:hAnsi="Times New Roman" w:cs="Times New Roman"/>
                <w:b/>
                <w:sz w:val="20"/>
                <w:szCs w:val="20"/>
              </w:rPr>
            </w:pPr>
            <w:r>
              <w:rPr>
                <w:rFonts w:ascii="Times New Roman" w:hAnsi="Times New Roman" w:cs="Times New Roman"/>
                <w:b/>
                <w:sz w:val="20"/>
                <w:szCs w:val="20"/>
              </w:rPr>
              <w:t>$</w:t>
            </w:r>
            <w:r w:rsidR="009B6B42">
              <w:rPr>
                <w:rFonts w:ascii="Times New Roman" w:hAnsi="Times New Roman" w:cs="Times New Roman"/>
                <w:b/>
                <w:sz w:val="20"/>
                <w:szCs w:val="20"/>
              </w:rPr>
              <w:t>3,591.00</w:t>
            </w:r>
          </w:p>
        </w:tc>
      </w:tr>
      <w:tr w:rsidR="009B6B42" w14:paraId="770B3569" w14:textId="77777777" w:rsidTr="009B6B42">
        <w:tc>
          <w:tcPr>
            <w:tcW w:w="4347" w:type="dxa"/>
            <w:tcBorders>
              <w:top w:val="single" w:sz="6" w:space="0" w:color="auto"/>
              <w:left w:val="double" w:sz="4" w:space="0" w:color="auto"/>
              <w:bottom w:val="single" w:sz="6" w:space="0" w:color="auto"/>
              <w:right w:val="double" w:sz="4" w:space="0" w:color="auto"/>
            </w:tcBorders>
          </w:tcPr>
          <w:p w14:paraId="3F6E3BAE" w14:textId="77777777" w:rsidR="00A0283D" w:rsidRDefault="00A457B7">
            <w:pPr>
              <w:spacing w:after="0"/>
              <w:jc w:val="center"/>
              <w:rPr>
                <w:rFonts w:ascii="Times New Roman" w:hAnsi="Times New Roman" w:cs="Times New Roman"/>
                <w:sz w:val="20"/>
                <w:szCs w:val="20"/>
              </w:rPr>
            </w:pPr>
            <w:r>
              <w:rPr>
                <w:rFonts w:ascii="Times New Roman" w:hAnsi="Times New Roman" w:cs="Times New Roman"/>
                <w:b/>
                <w:sz w:val="20"/>
                <w:szCs w:val="20"/>
              </w:rPr>
              <w:t>Second year budget estimates:</w:t>
            </w:r>
          </w:p>
        </w:tc>
        <w:tc>
          <w:tcPr>
            <w:tcW w:w="1075" w:type="dxa"/>
            <w:tcBorders>
              <w:top w:val="single" w:sz="6" w:space="0" w:color="auto"/>
              <w:left w:val="double" w:sz="4" w:space="0" w:color="auto"/>
              <w:bottom w:val="single" w:sz="6" w:space="0" w:color="auto"/>
              <w:right w:val="single" w:sz="6" w:space="0" w:color="auto"/>
            </w:tcBorders>
          </w:tcPr>
          <w:p w14:paraId="02F45769" w14:textId="77777777" w:rsidR="00A457B7" w:rsidRDefault="00A457B7" w:rsidP="00941A41">
            <w:pPr>
              <w:spacing w:after="0"/>
              <w:jc w:val="center"/>
              <w:rPr>
                <w:rFonts w:ascii="Times New Roman" w:hAnsi="Times New Roman" w:cs="Times New Roman"/>
                <w:sz w:val="20"/>
                <w:szCs w:val="20"/>
              </w:rPr>
            </w:pPr>
          </w:p>
        </w:tc>
        <w:tc>
          <w:tcPr>
            <w:tcW w:w="1016" w:type="dxa"/>
            <w:tcBorders>
              <w:top w:val="single" w:sz="6" w:space="0" w:color="auto"/>
              <w:left w:val="single" w:sz="6" w:space="0" w:color="auto"/>
              <w:bottom w:val="single" w:sz="6" w:space="0" w:color="auto"/>
              <w:right w:val="single" w:sz="6" w:space="0" w:color="auto"/>
            </w:tcBorders>
          </w:tcPr>
          <w:p w14:paraId="72C9F869" w14:textId="77777777" w:rsidR="00A457B7" w:rsidRDefault="00A457B7" w:rsidP="00941A41">
            <w:pPr>
              <w:spacing w:after="0"/>
              <w:jc w:val="right"/>
              <w:rPr>
                <w:rFonts w:ascii="Times New Roman" w:hAnsi="Times New Roman" w:cs="Times New Roman"/>
                <w:sz w:val="20"/>
                <w:szCs w:val="20"/>
              </w:rPr>
            </w:pPr>
          </w:p>
        </w:tc>
        <w:tc>
          <w:tcPr>
            <w:tcW w:w="1116" w:type="dxa"/>
            <w:tcBorders>
              <w:top w:val="single" w:sz="6" w:space="0" w:color="auto"/>
              <w:left w:val="single" w:sz="6" w:space="0" w:color="auto"/>
              <w:bottom w:val="single" w:sz="6" w:space="0" w:color="auto"/>
              <w:right w:val="double" w:sz="4" w:space="0" w:color="auto"/>
            </w:tcBorders>
          </w:tcPr>
          <w:p w14:paraId="494BC6DD" w14:textId="77777777" w:rsidR="00A457B7" w:rsidRPr="00F039C5" w:rsidRDefault="00A457B7" w:rsidP="008962F8">
            <w:pPr>
              <w:spacing w:after="0"/>
              <w:jc w:val="right"/>
              <w:rPr>
                <w:rFonts w:ascii="Times New Roman" w:hAnsi="Times New Roman" w:cs="Times New Roman"/>
                <w:sz w:val="20"/>
                <w:szCs w:val="20"/>
              </w:rPr>
            </w:pPr>
          </w:p>
        </w:tc>
        <w:tc>
          <w:tcPr>
            <w:tcW w:w="1116" w:type="dxa"/>
            <w:tcBorders>
              <w:top w:val="single" w:sz="6" w:space="0" w:color="auto"/>
              <w:left w:val="double" w:sz="4" w:space="0" w:color="auto"/>
              <w:bottom w:val="single" w:sz="6" w:space="0" w:color="auto"/>
              <w:right w:val="double" w:sz="4" w:space="0" w:color="auto"/>
            </w:tcBorders>
          </w:tcPr>
          <w:p w14:paraId="7B18DA48" w14:textId="77777777" w:rsidR="00A457B7" w:rsidRDefault="00A457B7" w:rsidP="005E741E">
            <w:pPr>
              <w:spacing w:after="0"/>
              <w:jc w:val="right"/>
              <w:rPr>
                <w:rFonts w:ascii="Times New Roman" w:hAnsi="Times New Roman" w:cs="Times New Roman"/>
                <w:sz w:val="20"/>
                <w:szCs w:val="20"/>
              </w:rPr>
            </w:pPr>
          </w:p>
        </w:tc>
        <w:tc>
          <w:tcPr>
            <w:tcW w:w="1162" w:type="dxa"/>
            <w:tcBorders>
              <w:top w:val="single" w:sz="6" w:space="0" w:color="auto"/>
              <w:left w:val="double" w:sz="4" w:space="0" w:color="auto"/>
              <w:bottom w:val="single" w:sz="6" w:space="0" w:color="auto"/>
              <w:right w:val="single" w:sz="6" w:space="0" w:color="auto"/>
            </w:tcBorders>
          </w:tcPr>
          <w:p w14:paraId="037AFFBC" w14:textId="77777777" w:rsidR="00A457B7" w:rsidRDefault="00A457B7" w:rsidP="008962F8">
            <w:pPr>
              <w:spacing w:after="0"/>
              <w:jc w:val="center"/>
              <w:rPr>
                <w:rFonts w:ascii="Times New Roman" w:hAnsi="Times New Roman" w:cs="Times New Roman"/>
                <w:sz w:val="20"/>
                <w:szCs w:val="20"/>
              </w:rPr>
            </w:pPr>
          </w:p>
        </w:tc>
        <w:tc>
          <w:tcPr>
            <w:tcW w:w="1038" w:type="dxa"/>
            <w:tcBorders>
              <w:top w:val="single" w:sz="6" w:space="0" w:color="auto"/>
              <w:left w:val="single" w:sz="6" w:space="0" w:color="auto"/>
              <w:bottom w:val="single" w:sz="6" w:space="0" w:color="auto"/>
              <w:right w:val="single" w:sz="6" w:space="0" w:color="auto"/>
            </w:tcBorders>
          </w:tcPr>
          <w:p w14:paraId="20B18147" w14:textId="77777777" w:rsidR="00A457B7" w:rsidRDefault="00A457B7" w:rsidP="00941A41">
            <w:pPr>
              <w:spacing w:after="0"/>
              <w:jc w:val="right"/>
              <w:rPr>
                <w:rFonts w:ascii="Times New Roman" w:hAnsi="Times New Roman" w:cs="Times New Roman"/>
                <w:sz w:val="20"/>
                <w:szCs w:val="20"/>
              </w:rPr>
            </w:pPr>
          </w:p>
        </w:tc>
        <w:tc>
          <w:tcPr>
            <w:tcW w:w="1163" w:type="dxa"/>
            <w:tcBorders>
              <w:top w:val="single" w:sz="6" w:space="0" w:color="auto"/>
              <w:left w:val="single" w:sz="6" w:space="0" w:color="auto"/>
              <w:bottom w:val="single" w:sz="6" w:space="0" w:color="auto"/>
              <w:right w:val="double" w:sz="4" w:space="0" w:color="auto"/>
            </w:tcBorders>
          </w:tcPr>
          <w:p w14:paraId="54B93A30" w14:textId="77777777" w:rsidR="00A457B7" w:rsidRPr="006A0234" w:rsidRDefault="00A457B7" w:rsidP="00506EA6">
            <w:pPr>
              <w:spacing w:after="0"/>
              <w:jc w:val="right"/>
              <w:rPr>
                <w:rFonts w:ascii="Times New Roman" w:hAnsi="Times New Roman" w:cs="Times New Roman"/>
                <w:sz w:val="20"/>
                <w:szCs w:val="20"/>
              </w:rPr>
            </w:pPr>
          </w:p>
        </w:tc>
        <w:tc>
          <w:tcPr>
            <w:tcW w:w="1143" w:type="dxa"/>
            <w:tcBorders>
              <w:top w:val="single" w:sz="6" w:space="0" w:color="auto"/>
              <w:left w:val="single" w:sz="6" w:space="0" w:color="auto"/>
              <w:bottom w:val="single" w:sz="6" w:space="0" w:color="auto"/>
              <w:right w:val="double" w:sz="4" w:space="0" w:color="auto"/>
            </w:tcBorders>
          </w:tcPr>
          <w:p w14:paraId="60FA2285" w14:textId="77777777" w:rsidR="00A457B7" w:rsidRDefault="00A457B7" w:rsidP="005E741E">
            <w:pPr>
              <w:spacing w:after="0"/>
              <w:jc w:val="right"/>
              <w:rPr>
                <w:rFonts w:ascii="Times New Roman" w:hAnsi="Times New Roman" w:cs="Times New Roman"/>
                <w:sz w:val="20"/>
                <w:szCs w:val="20"/>
              </w:rPr>
            </w:pPr>
          </w:p>
        </w:tc>
      </w:tr>
      <w:tr w:rsidR="009B6B42" w14:paraId="17B4B4AB" w14:textId="77777777" w:rsidTr="009B6B42">
        <w:tc>
          <w:tcPr>
            <w:tcW w:w="4347" w:type="dxa"/>
            <w:tcBorders>
              <w:top w:val="single" w:sz="6" w:space="0" w:color="auto"/>
              <w:left w:val="double" w:sz="4" w:space="0" w:color="auto"/>
              <w:bottom w:val="single" w:sz="6" w:space="0" w:color="auto"/>
              <w:right w:val="double" w:sz="4" w:space="0" w:color="auto"/>
            </w:tcBorders>
          </w:tcPr>
          <w:p w14:paraId="040CE8F8" w14:textId="77777777" w:rsidR="009B6B42" w:rsidRDefault="009B6B42" w:rsidP="009B6B42">
            <w:pPr>
              <w:spacing w:after="0"/>
              <w:rPr>
                <w:rFonts w:ascii="Times New Roman" w:hAnsi="Times New Roman" w:cs="Times New Roman"/>
                <w:sz w:val="20"/>
                <w:szCs w:val="20"/>
              </w:rPr>
            </w:pPr>
            <w:r>
              <w:rPr>
                <w:rFonts w:ascii="Times New Roman" w:hAnsi="Times New Roman" w:cs="Times New Roman"/>
                <w:sz w:val="20"/>
                <w:szCs w:val="20"/>
              </w:rPr>
              <w:t>Year 2 – first biannual hay/browse analysis</w:t>
            </w:r>
          </w:p>
        </w:tc>
        <w:tc>
          <w:tcPr>
            <w:tcW w:w="1075" w:type="dxa"/>
            <w:tcBorders>
              <w:top w:val="single" w:sz="6" w:space="0" w:color="auto"/>
              <w:left w:val="double" w:sz="4" w:space="0" w:color="auto"/>
              <w:bottom w:val="single" w:sz="6" w:space="0" w:color="auto"/>
              <w:right w:val="single" w:sz="6" w:space="0" w:color="auto"/>
            </w:tcBorders>
          </w:tcPr>
          <w:p w14:paraId="7E523441" w14:textId="77777777" w:rsidR="009B6B42" w:rsidRPr="00A6393C" w:rsidRDefault="009B6B42" w:rsidP="00B8400E">
            <w:pPr>
              <w:spacing w:after="0"/>
              <w:jc w:val="center"/>
              <w:rPr>
                <w:rFonts w:ascii="Times New Roman" w:hAnsi="Times New Roman" w:cs="Times New Roman"/>
                <w:sz w:val="20"/>
                <w:szCs w:val="20"/>
              </w:rPr>
            </w:pPr>
            <w:r>
              <w:rPr>
                <w:rFonts w:ascii="Times New Roman" w:hAnsi="Times New Roman" w:cs="Times New Roman"/>
                <w:sz w:val="20"/>
                <w:szCs w:val="20"/>
              </w:rPr>
              <w:t>50</w:t>
            </w:r>
          </w:p>
        </w:tc>
        <w:tc>
          <w:tcPr>
            <w:tcW w:w="1016" w:type="dxa"/>
            <w:tcBorders>
              <w:top w:val="single" w:sz="6" w:space="0" w:color="auto"/>
              <w:left w:val="single" w:sz="6" w:space="0" w:color="auto"/>
              <w:bottom w:val="single" w:sz="6" w:space="0" w:color="auto"/>
              <w:right w:val="single" w:sz="6" w:space="0" w:color="auto"/>
            </w:tcBorders>
          </w:tcPr>
          <w:p w14:paraId="32AB8A5D" w14:textId="77777777" w:rsidR="009B6B42" w:rsidRPr="00A6393C" w:rsidRDefault="009B6B42" w:rsidP="00B8400E">
            <w:pPr>
              <w:spacing w:after="0"/>
              <w:jc w:val="right"/>
              <w:rPr>
                <w:rFonts w:ascii="Times New Roman" w:hAnsi="Times New Roman" w:cs="Times New Roman"/>
                <w:sz w:val="20"/>
                <w:szCs w:val="20"/>
              </w:rPr>
            </w:pPr>
            <w:r>
              <w:rPr>
                <w:rFonts w:ascii="Times New Roman" w:hAnsi="Times New Roman" w:cs="Times New Roman"/>
                <w:sz w:val="20"/>
                <w:szCs w:val="20"/>
              </w:rPr>
              <w:t>$10.40</w:t>
            </w:r>
          </w:p>
        </w:tc>
        <w:tc>
          <w:tcPr>
            <w:tcW w:w="1116" w:type="dxa"/>
            <w:tcBorders>
              <w:top w:val="single" w:sz="6" w:space="0" w:color="auto"/>
              <w:left w:val="single" w:sz="6" w:space="0" w:color="auto"/>
              <w:bottom w:val="single" w:sz="6" w:space="0" w:color="auto"/>
              <w:right w:val="double" w:sz="4" w:space="0" w:color="auto"/>
            </w:tcBorders>
          </w:tcPr>
          <w:p w14:paraId="79E7E939" w14:textId="77777777" w:rsidR="009B6B42" w:rsidRPr="000452FF" w:rsidRDefault="009B6B42" w:rsidP="00B8400E">
            <w:pPr>
              <w:spacing w:after="0"/>
              <w:jc w:val="right"/>
              <w:rPr>
                <w:rFonts w:ascii="Times New Roman" w:hAnsi="Times New Roman" w:cs="Times New Roman"/>
                <w:sz w:val="20"/>
                <w:szCs w:val="20"/>
              </w:rPr>
            </w:pPr>
            <w:r w:rsidRPr="000452FF">
              <w:rPr>
                <w:rFonts w:ascii="Times New Roman" w:hAnsi="Times New Roman" w:cs="Times New Roman"/>
                <w:sz w:val="20"/>
                <w:szCs w:val="20"/>
              </w:rPr>
              <w:t>$520.00</w:t>
            </w:r>
          </w:p>
        </w:tc>
        <w:tc>
          <w:tcPr>
            <w:tcW w:w="1116" w:type="dxa"/>
            <w:tcBorders>
              <w:top w:val="single" w:sz="6" w:space="0" w:color="auto"/>
              <w:left w:val="double" w:sz="4" w:space="0" w:color="auto"/>
              <w:bottom w:val="single" w:sz="6" w:space="0" w:color="auto"/>
              <w:right w:val="double" w:sz="4" w:space="0" w:color="auto"/>
            </w:tcBorders>
          </w:tcPr>
          <w:p w14:paraId="50EB2EEF" w14:textId="77777777" w:rsidR="009B6B42" w:rsidRDefault="009B6B42" w:rsidP="005E741E">
            <w:pPr>
              <w:spacing w:after="0"/>
              <w:jc w:val="right"/>
              <w:rPr>
                <w:rFonts w:ascii="Times New Roman" w:hAnsi="Times New Roman" w:cs="Times New Roman"/>
                <w:sz w:val="20"/>
                <w:szCs w:val="20"/>
              </w:rPr>
            </w:pPr>
          </w:p>
        </w:tc>
        <w:tc>
          <w:tcPr>
            <w:tcW w:w="1162" w:type="dxa"/>
            <w:tcBorders>
              <w:top w:val="single" w:sz="6" w:space="0" w:color="auto"/>
              <w:left w:val="double" w:sz="4" w:space="0" w:color="auto"/>
              <w:bottom w:val="single" w:sz="6" w:space="0" w:color="auto"/>
              <w:right w:val="single" w:sz="6" w:space="0" w:color="auto"/>
            </w:tcBorders>
          </w:tcPr>
          <w:p w14:paraId="69747125" w14:textId="77777777" w:rsidR="009B6B42" w:rsidRPr="006A0234" w:rsidRDefault="009B6B42" w:rsidP="00B8400E">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1038" w:type="dxa"/>
            <w:tcBorders>
              <w:top w:val="single" w:sz="6" w:space="0" w:color="auto"/>
              <w:left w:val="single" w:sz="6" w:space="0" w:color="auto"/>
              <w:bottom w:val="single" w:sz="6" w:space="0" w:color="auto"/>
              <w:right w:val="single" w:sz="6" w:space="0" w:color="auto"/>
            </w:tcBorders>
          </w:tcPr>
          <w:p w14:paraId="33258EFB" w14:textId="77777777" w:rsidR="009B6B42" w:rsidRPr="006A0234" w:rsidRDefault="009B6B42" w:rsidP="00B8400E">
            <w:pPr>
              <w:spacing w:after="0"/>
              <w:jc w:val="right"/>
              <w:rPr>
                <w:rFonts w:ascii="Times New Roman" w:hAnsi="Times New Roman" w:cs="Times New Roman"/>
                <w:sz w:val="20"/>
                <w:szCs w:val="20"/>
              </w:rPr>
            </w:pPr>
            <w:r w:rsidRPr="006A0234">
              <w:rPr>
                <w:rFonts w:ascii="Times New Roman" w:hAnsi="Times New Roman" w:cs="Times New Roman"/>
                <w:sz w:val="20"/>
                <w:szCs w:val="20"/>
              </w:rPr>
              <w:t>$10.40</w:t>
            </w:r>
          </w:p>
        </w:tc>
        <w:tc>
          <w:tcPr>
            <w:tcW w:w="1163" w:type="dxa"/>
            <w:tcBorders>
              <w:top w:val="single" w:sz="6" w:space="0" w:color="auto"/>
              <w:left w:val="single" w:sz="6" w:space="0" w:color="auto"/>
              <w:bottom w:val="single" w:sz="6" w:space="0" w:color="auto"/>
              <w:right w:val="double" w:sz="4" w:space="0" w:color="auto"/>
            </w:tcBorders>
          </w:tcPr>
          <w:p w14:paraId="42EAF44C" w14:textId="77777777" w:rsidR="009B6B42" w:rsidRPr="006A0234" w:rsidRDefault="009B6B42" w:rsidP="00B8400E">
            <w:pPr>
              <w:spacing w:after="0"/>
              <w:jc w:val="right"/>
              <w:rPr>
                <w:rFonts w:ascii="Times New Roman" w:hAnsi="Times New Roman" w:cs="Times New Roman"/>
                <w:sz w:val="20"/>
                <w:szCs w:val="20"/>
              </w:rPr>
            </w:pPr>
            <w:r w:rsidRPr="006A0234">
              <w:rPr>
                <w:rFonts w:ascii="Times New Roman" w:hAnsi="Times New Roman" w:cs="Times New Roman"/>
                <w:sz w:val="20"/>
                <w:szCs w:val="20"/>
              </w:rPr>
              <w:t>$1,</w:t>
            </w:r>
            <w:r>
              <w:rPr>
                <w:rFonts w:ascii="Times New Roman" w:hAnsi="Times New Roman" w:cs="Times New Roman"/>
                <w:sz w:val="20"/>
                <w:szCs w:val="20"/>
              </w:rPr>
              <w:t>040</w:t>
            </w:r>
            <w:r w:rsidRPr="006A0234">
              <w:rPr>
                <w:rFonts w:ascii="Times New Roman" w:hAnsi="Times New Roman" w:cs="Times New Roman"/>
                <w:sz w:val="20"/>
                <w:szCs w:val="20"/>
              </w:rPr>
              <w:t>.00</w:t>
            </w:r>
          </w:p>
        </w:tc>
        <w:tc>
          <w:tcPr>
            <w:tcW w:w="1143" w:type="dxa"/>
            <w:tcBorders>
              <w:top w:val="single" w:sz="6" w:space="0" w:color="auto"/>
              <w:left w:val="single" w:sz="6" w:space="0" w:color="auto"/>
              <w:bottom w:val="single" w:sz="6" w:space="0" w:color="auto"/>
              <w:right w:val="double" w:sz="4" w:space="0" w:color="auto"/>
            </w:tcBorders>
          </w:tcPr>
          <w:p w14:paraId="4AAADB87" w14:textId="77777777" w:rsidR="009B6B42" w:rsidRDefault="009B6B42" w:rsidP="005E741E">
            <w:pPr>
              <w:spacing w:after="0"/>
              <w:jc w:val="right"/>
              <w:rPr>
                <w:rFonts w:ascii="Times New Roman" w:hAnsi="Times New Roman" w:cs="Times New Roman"/>
                <w:sz w:val="20"/>
                <w:szCs w:val="20"/>
              </w:rPr>
            </w:pPr>
          </w:p>
        </w:tc>
      </w:tr>
      <w:tr w:rsidR="009B6B42" w14:paraId="7ECE2CE3" w14:textId="77777777" w:rsidTr="009B6B42">
        <w:tc>
          <w:tcPr>
            <w:tcW w:w="4347" w:type="dxa"/>
            <w:tcBorders>
              <w:top w:val="single" w:sz="6" w:space="0" w:color="auto"/>
              <w:left w:val="double" w:sz="4" w:space="0" w:color="auto"/>
              <w:bottom w:val="single" w:sz="6" w:space="0" w:color="auto"/>
              <w:right w:val="double" w:sz="4" w:space="0" w:color="auto"/>
            </w:tcBorders>
          </w:tcPr>
          <w:p w14:paraId="0A83C9CF" w14:textId="77777777" w:rsidR="009B6B42" w:rsidRPr="00B11F4E" w:rsidRDefault="009B6B42" w:rsidP="009B6B42">
            <w:pPr>
              <w:spacing w:after="0"/>
              <w:rPr>
                <w:rFonts w:ascii="Times New Roman" w:hAnsi="Times New Roman" w:cs="Times New Roman"/>
                <w:sz w:val="20"/>
                <w:szCs w:val="20"/>
                <w:u w:val="single"/>
              </w:rPr>
            </w:pPr>
            <w:r>
              <w:rPr>
                <w:rFonts w:ascii="Times New Roman" w:hAnsi="Times New Roman" w:cs="Times New Roman"/>
                <w:sz w:val="20"/>
                <w:szCs w:val="20"/>
              </w:rPr>
              <w:t>Year 2 – second biannual hay/browse analysis</w:t>
            </w:r>
          </w:p>
        </w:tc>
        <w:tc>
          <w:tcPr>
            <w:tcW w:w="1075" w:type="dxa"/>
            <w:tcBorders>
              <w:top w:val="single" w:sz="6" w:space="0" w:color="auto"/>
              <w:left w:val="double" w:sz="4" w:space="0" w:color="auto"/>
              <w:bottom w:val="single" w:sz="6" w:space="0" w:color="auto"/>
              <w:right w:val="single" w:sz="6" w:space="0" w:color="auto"/>
            </w:tcBorders>
          </w:tcPr>
          <w:p w14:paraId="7CE1BAD3" w14:textId="77777777" w:rsidR="009B6B42" w:rsidRPr="00A6393C" w:rsidRDefault="009B6B42" w:rsidP="00B8400E">
            <w:pPr>
              <w:spacing w:after="0"/>
              <w:jc w:val="center"/>
              <w:rPr>
                <w:rFonts w:ascii="Times New Roman" w:hAnsi="Times New Roman" w:cs="Times New Roman"/>
                <w:sz w:val="20"/>
                <w:szCs w:val="20"/>
              </w:rPr>
            </w:pPr>
            <w:r>
              <w:rPr>
                <w:rFonts w:ascii="Times New Roman" w:hAnsi="Times New Roman" w:cs="Times New Roman"/>
                <w:sz w:val="20"/>
                <w:szCs w:val="20"/>
              </w:rPr>
              <w:t>50</w:t>
            </w:r>
          </w:p>
        </w:tc>
        <w:tc>
          <w:tcPr>
            <w:tcW w:w="1016" w:type="dxa"/>
            <w:tcBorders>
              <w:top w:val="single" w:sz="6" w:space="0" w:color="auto"/>
              <w:left w:val="single" w:sz="6" w:space="0" w:color="auto"/>
              <w:bottom w:val="single" w:sz="6" w:space="0" w:color="auto"/>
              <w:right w:val="single" w:sz="6" w:space="0" w:color="auto"/>
            </w:tcBorders>
          </w:tcPr>
          <w:p w14:paraId="7AC92C6E" w14:textId="77777777" w:rsidR="009B6B42" w:rsidRPr="00A6393C" w:rsidRDefault="009B6B42" w:rsidP="00B8400E">
            <w:pPr>
              <w:spacing w:after="0"/>
              <w:jc w:val="right"/>
              <w:rPr>
                <w:rFonts w:ascii="Times New Roman" w:hAnsi="Times New Roman" w:cs="Times New Roman"/>
                <w:sz w:val="20"/>
                <w:szCs w:val="20"/>
              </w:rPr>
            </w:pPr>
            <w:r>
              <w:rPr>
                <w:rFonts w:ascii="Times New Roman" w:hAnsi="Times New Roman" w:cs="Times New Roman"/>
                <w:sz w:val="20"/>
                <w:szCs w:val="20"/>
              </w:rPr>
              <w:t>$10.40</w:t>
            </w:r>
          </w:p>
        </w:tc>
        <w:tc>
          <w:tcPr>
            <w:tcW w:w="1116" w:type="dxa"/>
            <w:tcBorders>
              <w:top w:val="single" w:sz="6" w:space="0" w:color="auto"/>
              <w:left w:val="single" w:sz="6" w:space="0" w:color="auto"/>
              <w:bottom w:val="single" w:sz="6" w:space="0" w:color="auto"/>
              <w:right w:val="double" w:sz="4" w:space="0" w:color="auto"/>
            </w:tcBorders>
          </w:tcPr>
          <w:p w14:paraId="12BA7ADD" w14:textId="77777777" w:rsidR="009B6B42" w:rsidRPr="009B6B42" w:rsidRDefault="009B6B42" w:rsidP="00B8400E">
            <w:pPr>
              <w:spacing w:after="0"/>
              <w:jc w:val="right"/>
              <w:rPr>
                <w:rFonts w:ascii="Times New Roman" w:hAnsi="Times New Roman" w:cs="Times New Roman"/>
                <w:sz w:val="20"/>
                <w:szCs w:val="20"/>
                <w:u w:val="double"/>
              </w:rPr>
            </w:pPr>
            <w:r w:rsidRPr="009B6B42">
              <w:rPr>
                <w:rFonts w:ascii="Times New Roman" w:hAnsi="Times New Roman" w:cs="Times New Roman"/>
                <w:sz w:val="20"/>
                <w:szCs w:val="20"/>
                <w:u w:val="double"/>
              </w:rPr>
              <w:t>$520.00</w:t>
            </w:r>
          </w:p>
        </w:tc>
        <w:tc>
          <w:tcPr>
            <w:tcW w:w="1116" w:type="dxa"/>
            <w:tcBorders>
              <w:top w:val="single" w:sz="6" w:space="0" w:color="auto"/>
              <w:left w:val="double" w:sz="4" w:space="0" w:color="auto"/>
              <w:bottom w:val="single" w:sz="6" w:space="0" w:color="auto"/>
              <w:right w:val="double" w:sz="4" w:space="0" w:color="auto"/>
            </w:tcBorders>
          </w:tcPr>
          <w:p w14:paraId="1708305A" w14:textId="77777777" w:rsidR="009B6B42" w:rsidRDefault="009B6B42" w:rsidP="005E741E">
            <w:pPr>
              <w:spacing w:after="0"/>
              <w:jc w:val="right"/>
              <w:rPr>
                <w:rFonts w:ascii="Times New Roman" w:hAnsi="Times New Roman" w:cs="Times New Roman"/>
                <w:sz w:val="20"/>
                <w:szCs w:val="20"/>
              </w:rPr>
            </w:pPr>
          </w:p>
        </w:tc>
        <w:tc>
          <w:tcPr>
            <w:tcW w:w="1162" w:type="dxa"/>
            <w:tcBorders>
              <w:top w:val="single" w:sz="6" w:space="0" w:color="auto"/>
              <w:left w:val="double" w:sz="4" w:space="0" w:color="auto"/>
              <w:bottom w:val="single" w:sz="6" w:space="0" w:color="auto"/>
              <w:right w:val="single" w:sz="6" w:space="0" w:color="auto"/>
            </w:tcBorders>
          </w:tcPr>
          <w:p w14:paraId="3033ABC9" w14:textId="77777777" w:rsidR="009B6B42" w:rsidRPr="006A0234" w:rsidRDefault="009B6B42" w:rsidP="00B8400E">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1038" w:type="dxa"/>
            <w:tcBorders>
              <w:top w:val="single" w:sz="6" w:space="0" w:color="auto"/>
              <w:left w:val="single" w:sz="6" w:space="0" w:color="auto"/>
              <w:bottom w:val="single" w:sz="6" w:space="0" w:color="auto"/>
              <w:right w:val="single" w:sz="6" w:space="0" w:color="auto"/>
            </w:tcBorders>
          </w:tcPr>
          <w:p w14:paraId="4952159C" w14:textId="77777777" w:rsidR="009B6B42" w:rsidRPr="006A0234" w:rsidRDefault="009B6B42" w:rsidP="00B8400E">
            <w:pPr>
              <w:spacing w:after="0"/>
              <w:jc w:val="right"/>
              <w:rPr>
                <w:rFonts w:ascii="Times New Roman" w:hAnsi="Times New Roman" w:cs="Times New Roman"/>
                <w:sz w:val="20"/>
                <w:szCs w:val="20"/>
              </w:rPr>
            </w:pPr>
            <w:r w:rsidRPr="006A0234">
              <w:rPr>
                <w:rFonts w:ascii="Times New Roman" w:hAnsi="Times New Roman" w:cs="Times New Roman"/>
                <w:sz w:val="20"/>
                <w:szCs w:val="20"/>
              </w:rPr>
              <w:t>$10.40</w:t>
            </w:r>
          </w:p>
        </w:tc>
        <w:tc>
          <w:tcPr>
            <w:tcW w:w="1163" w:type="dxa"/>
            <w:tcBorders>
              <w:top w:val="single" w:sz="6" w:space="0" w:color="auto"/>
              <w:left w:val="single" w:sz="6" w:space="0" w:color="auto"/>
              <w:bottom w:val="single" w:sz="6" w:space="0" w:color="auto"/>
              <w:right w:val="double" w:sz="4" w:space="0" w:color="auto"/>
            </w:tcBorders>
          </w:tcPr>
          <w:p w14:paraId="6D13E879" w14:textId="77777777" w:rsidR="009B6B42" w:rsidRPr="009B6B42" w:rsidRDefault="009B6B42" w:rsidP="00B8400E">
            <w:pPr>
              <w:spacing w:after="0"/>
              <w:jc w:val="right"/>
              <w:rPr>
                <w:rFonts w:ascii="Times New Roman" w:hAnsi="Times New Roman" w:cs="Times New Roman"/>
                <w:sz w:val="20"/>
                <w:szCs w:val="20"/>
                <w:u w:val="double"/>
              </w:rPr>
            </w:pPr>
            <w:r w:rsidRPr="009B6B42">
              <w:rPr>
                <w:rFonts w:ascii="Times New Roman" w:hAnsi="Times New Roman" w:cs="Times New Roman"/>
                <w:sz w:val="20"/>
                <w:szCs w:val="20"/>
                <w:u w:val="double"/>
              </w:rPr>
              <w:t>$1,040.00</w:t>
            </w:r>
          </w:p>
        </w:tc>
        <w:tc>
          <w:tcPr>
            <w:tcW w:w="1143" w:type="dxa"/>
            <w:tcBorders>
              <w:top w:val="single" w:sz="6" w:space="0" w:color="auto"/>
              <w:left w:val="single" w:sz="6" w:space="0" w:color="auto"/>
              <w:bottom w:val="single" w:sz="6" w:space="0" w:color="auto"/>
              <w:right w:val="double" w:sz="4" w:space="0" w:color="auto"/>
            </w:tcBorders>
          </w:tcPr>
          <w:p w14:paraId="2FCA4BE4" w14:textId="77777777" w:rsidR="009B6B42" w:rsidRDefault="009B6B42" w:rsidP="005E741E">
            <w:pPr>
              <w:spacing w:after="0"/>
              <w:jc w:val="right"/>
              <w:rPr>
                <w:rFonts w:ascii="Times New Roman" w:hAnsi="Times New Roman" w:cs="Times New Roman"/>
                <w:sz w:val="20"/>
                <w:szCs w:val="20"/>
              </w:rPr>
            </w:pPr>
          </w:p>
        </w:tc>
      </w:tr>
      <w:tr w:rsidR="009B6B42" w14:paraId="144D4AA3" w14:textId="77777777" w:rsidTr="009B6B42">
        <w:tc>
          <w:tcPr>
            <w:tcW w:w="4347" w:type="dxa"/>
            <w:tcBorders>
              <w:top w:val="single" w:sz="6" w:space="0" w:color="auto"/>
              <w:left w:val="double" w:sz="4" w:space="0" w:color="auto"/>
              <w:bottom w:val="double" w:sz="4" w:space="0" w:color="auto"/>
              <w:right w:val="double" w:sz="4" w:space="0" w:color="auto"/>
            </w:tcBorders>
          </w:tcPr>
          <w:p w14:paraId="469CF01C" w14:textId="77777777" w:rsidR="009B6B42" w:rsidRPr="00B11F4E" w:rsidRDefault="009B6B42" w:rsidP="00806AF8">
            <w:pPr>
              <w:spacing w:after="0"/>
              <w:jc w:val="right"/>
              <w:rPr>
                <w:rFonts w:ascii="Times New Roman" w:hAnsi="Times New Roman" w:cs="Times New Roman"/>
                <w:sz w:val="20"/>
                <w:szCs w:val="20"/>
              </w:rPr>
            </w:pPr>
          </w:p>
        </w:tc>
        <w:tc>
          <w:tcPr>
            <w:tcW w:w="1075" w:type="dxa"/>
            <w:tcBorders>
              <w:top w:val="single" w:sz="6" w:space="0" w:color="auto"/>
              <w:left w:val="double" w:sz="4" w:space="0" w:color="auto"/>
              <w:bottom w:val="double" w:sz="4" w:space="0" w:color="auto"/>
              <w:right w:val="single" w:sz="6" w:space="0" w:color="auto"/>
            </w:tcBorders>
          </w:tcPr>
          <w:p w14:paraId="0DB42E87" w14:textId="77777777" w:rsidR="009B6B42" w:rsidRDefault="009B6B42" w:rsidP="00941A41">
            <w:pPr>
              <w:spacing w:after="0"/>
              <w:jc w:val="center"/>
              <w:rPr>
                <w:rFonts w:ascii="Times New Roman" w:hAnsi="Times New Roman" w:cs="Times New Roman"/>
                <w:sz w:val="20"/>
                <w:szCs w:val="20"/>
              </w:rPr>
            </w:pPr>
          </w:p>
        </w:tc>
        <w:tc>
          <w:tcPr>
            <w:tcW w:w="1016" w:type="dxa"/>
            <w:tcBorders>
              <w:top w:val="single" w:sz="6" w:space="0" w:color="auto"/>
              <w:left w:val="single" w:sz="6" w:space="0" w:color="auto"/>
              <w:bottom w:val="double" w:sz="4" w:space="0" w:color="auto"/>
              <w:right w:val="single" w:sz="6" w:space="0" w:color="auto"/>
            </w:tcBorders>
          </w:tcPr>
          <w:p w14:paraId="5469A80A" w14:textId="77777777" w:rsidR="009B6B42" w:rsidRDefault="009B6B42" w:rsidP="00941A41">
            <w:pPr>
              <w:spacing w:after="0"/>
              <w:jc w:val="right"/>
              <w:rPr>
                <w:rFonts w:ascii="Times New Roman" w:hAnsi="Times New Roman" w:cs="Times New Roman"/>
                <w:sz w:val="20"/>
                <w:szCs w:val="20"/>
              </w:rPr>
            </w:pPr>
          </w:p>
        </w:tc>
        <w:tc>
          <w:tcPr>
            <w:tcW w:w="1116" w:type="dxa"/>
            <w:tcBorders>
              <w:top w:val="single" w:sz="6" w:space="0" w:color="auto"/>
              <w:left w:val="single" w:sz="6" w:space="0" w:color="auto"/>
              <w:bottom w:val="double" w:sz="4" w:space="0" w:color="auto"/>
              <w:right w:val="double" w:sz="4" w:space="0" w:color="auto"/>
            </w:tcBorders>
          </w:tcPr>
          <w:p w14:paraId="74606DE8" w14:textId="77777777" w:rsidR="009B6B42" w:rsidRPr="00F039C5" w:rsidRDefault="009B6B42" w:rsidP="005E741E">
            <w:pPr>
              <w:spacing w:after="0"/>
              <w:jc w:val="right"/>
              <w:rPr>
                <w:rFonts w:ascii="Times New Roman" w:hAnsi="Times New Roman" w:cs="Times New Roman"/>
                <w:sz w:val="20"/>
                <w:szCs w:val="20"/>
              </w:rPr>
            </w:pPr>
          </w:p>
        </w:tc>
        <w:tc>
          <w:tcPr>
            <w:tcW w:w="1116" w:type="dxa"/>
            <w:tcBorders>
              <w:top w:val="single" w:sz="6" w:space="0" w:color="auto"/>
              <w:left w:val="double" w:sz="4" w:space="0" w:color="auto"/>
              <w:bottom w:val="double" w:sz="4" w:space="0" w:color="auto"/>
              <w:right w:val="double" w:sz="4" w:space="0" w:color="auto"/>
            </w:tcBorders>
          </w:tcPr>
          <w:p w14:paraId="32655B29" w14:textId="77777777" w:rsidR="009B6B42" w:rsidRPr="00282144" w:rsidRDefault="009B6B42" w:rsidP="000452FF">
            <w:pPr>
              <w:spacing w:after="0"/>
              <w:jc w:val="right"/>
              <w:rPr>
                <w:rFonts w:ascii="Times New Roman" w:hAnsi="Times New Roman" w:cs="Times New Roman"/>
                <w:b/>
                <w:sz w:val="20"/>
                <w:szCs w:val="20"/>
              </w:rPr>
            </w:pPr>
            <w:r w:rsidRPr="00282144">
              <w:rPr>
                <w:rFonts w:ascii="Times New Roman" w:hAnsi="Times New Roman" w:cs="Times New Roman"/>
                <w:b/>
                <w:sz w:val="20"/>
                <w:szCs w:val="20"/>
              </w:rPr>
              <w:t>$1,</w:t>
            </w:r>
            <w:r>
              <w:rPr>
                <w:rFonts w:ascii="Times New Roman" w:hAnsi="Times New Roman" w:cs="Times New Roman"/>
                <w:b/>
                <w:sz w:val="20"/>
                <w:szCs w:val="20"/>
              </w:rPr>
              <w:t>040.00</w:t>
            </w:r>
          </w:p>
        </w:tc>
        <w:tc>
          <w:tcPr>
            <w:tcW w:w="1162" w:type="dxa"/>
            <w:tcBorders>
              <w:top w:val="single" w:sz="6" w:space="0" w:color="auto"/>
              <w:left w:val="double" w:sz="4" w:space="0" w:color="auto"/>
              <w:bottom w:val="double" w:sz="4" w:space="0" w:color="auto"/>
              <w:right w:val="single" w:sz="6" w:space="0" w:color="auto"/>
            </w:tcBorders>
          </w:tcPr>
          <w:p w14:paraId="756713BA" w14:textId="77777777" w:rsidR="009B6B42" w:rsidRDefault="009B6B42" w:rsidP="00282144">
            <w:pPr>
              <w:spacing w:after="0"/>
              <w:rPr>
                <w:rFonts w:ascii="Times New Roman" w:hAnsi="Times New Roman" w:cs="Times New Roman"/>
                <w:sz w:val="20"/>
                <w:szCs w:val="20"/>
              </w:rPr>
            </w:pPr>
          </w:p>
        </w:tc>
        <w:tc>
          <w:tcPr>
            <w:tcW w:w="1038" w:type="dxa"/>
            <w:tcBorders>
              <w:top w:val="single" w:sz="6" w:space="0" w:color="auto"/>
              <w:left w:val="single" w:sz="6" w:space="0" w:color="auto"/>
              <w:bottom w:val="double" w:sz="4" w:space="0" w:color="auto"/>
              <w:right w:val="single" w:sz="6" w:space="0" w:color="auto"/>
            </w:tcBorders>
          </w:tcPr>
          <w:p w14:paraId="0E6CACA0" w14:textId="77777777" w:rsidR="009B6B42" w:rsidRDefault="009B6B42" w:rsidP="00941A41">
            <w:pPr>
              <w:spacing w:after="0"/>
              <w:jc w:val="right"/>
              <w:rPr>
                <w:rFonts w:ascii="Times New Roman" w:hAnsi="Times New Roman" w:cs="Times New Roman"/>
                <w:sz w:val="20"/>
                <w:szCs w:val="20"/>
              </w:rPr>
            </w:pPr>
          </w:p>
        </w:tc>
        <w:tc>
          <w:tcPr>
            <w:tcW w:w="1163" w:type="dxa"/>
            <w:tcBorders>
              <w:top w:val="single" w:sz="6" w:space="0" w:color="auto"/>
              <w:left w:val="single" w:sz="6" w:space="0" w:color="auto"/>
              <w:bottom w:val="double" w:sz="4" w:space="0" w:color="auto"/>
              <w:right w:val="double" w:sz="4" w:space="0" w:color="auto"/>
            </w:tcBorders>
          </w:tcPr>
          <w:p w14:paraId="7A2738E2" w14:textId="77777777" w:rsidR="009B6B42" w:rsidRPr="006A0234" w:rsidRDefault="009B6B42" w:rsidP="00941A41">
            <w:pPr>
              <w:spacing w:after="0"/>
              <w:jc w:val="right"/>
              <w:rPr>
                <w:rFonts w:ascii="Times New Roman" w:hAnsi="Times New Roman" w:cs="Times New Roman"/>
                <w:sz w:val="20"/>
                <w:szCs w:val="20"/>
              </w:rPr>
            </w:pPr>
          </w:p>
        </w:tc>
        <w:tc>
          <w:tcPr>
            <w:tcW w:w="1143" w:type="dxa"/>
            <w:tcBorders>
              <w:top w:val="single" w:sz="6" w:space="0" w:color="auto"/>
              <w:left w:val="single" w:sz="6" w:space="0" w:color="auto"/>
              <w:bottom w:val="double" w:sz="4" w:space="0" w:color="auto"/>
              <w:right w:val="double" w:sz="4" w:space="0" w:color="auto"/>
            </w:tcBorders>
          </w:tcPr>
          <w:p w14:paraId="4DBE303C" w14:textId="77777777" w:rsidR="009B6B42" w:rsidRPr="00806AF8" w:rsidRDefault="009B6B42" w:rsidP="001F46B8">
            <w:pPr>
              <w:spacing w:after="0"/>
              <w:jc w:val="right"/>
              <w:rPr>
                <w:rFonts w:ascii="Times New Roman" w:hAnsi="Times New Roman" w:cs="Times New Roman"/>
                <w:b/>
                <w:sz w:val="20"/>
                <w:szCs w:val="20"/>
              </w:rPr>
            </w:pPr>
            <w:r>
              <w:rPr>
                <w:rFonts w:ascii="Times New Roman" w:hAnsi="Times New Roman" w:cs="Times New Roman"/>
                <w:b/>
                <w:sz w:val="20"/>
                <w:szCs w:val="20"/>
              </w:rPr>
              <w:t>$2,080.00</w:t>
            </w:r>
          </w:p>
        </w:tc>
      </w:tr>
      <w:tr w:rsidR="009B6B42" w14:paraId="0432FADD" w14:textId="77777777" w:rsidTr="009B6B42">
        <w:tc>
          <w:tcPr>
            <w:tcW w:w="4347" w:type="dxa"/>
            <w:tcBorders>
              <w:top w:val="single" w:sz="6" w:space="0" w:color="auto"/>
              <w:left w:val="double" w:sz="4" w:space="0" w:color="auto"/>
              <w:bottom w:val="single" w:sz="6" w:space="0" w:color="auto"/>
              <w:right w:val="double" w:sz="4" w:space="0" w:color="auto"/>
            </w:tcBorders>
          </w:tcPr>
          <w:p w14:paraId="743504B6" w14:textId="77777777" w:rsidR="009B6B42" w:rsidRDefault="009B6B42">
            <w:pPr>
              <w:spacing w:after="0"/>
              <w:jc w:val="center"/>
              <w:rPr>
                <w:rFonts w:ascii="Times New Roman" w:hAnsi="Times New Roman" w:cs="Times New Roman"/>
                <w:sz w:val="20"/>
                <w:szCs w:val="20"/>
              </w:rPr>
            </w:pPr>
            <w:r>
              <w:rPr>
                <w:rFonts w:ascii="Times New Roman" w:hAnsi="Times New Roman" w:cs="Times New Roman"/>
                <w:b/>
                <w:sz w:val="20"/>
                <w:szCs w:val="20"/>
              </w:rPr>
              <w:t>Third year budget estimates:</w:t>
            </w:r>
          </w:p>
        </w:tc>
        <w:tc>
          <w:tcPr>
            <w:tcW w:w="1075" w:type="dxa"/>
            <w:tcBorders>
              <w:top w:val="single" w:sz="6" w:space="0" w:color="auto"/>
              <w:left w:val="double" w:sz="4" w:space="0" w:color="auto"/>
              <w:bottom w:val="single" w:sz="6" w:space="0" w:color="auto"/>
              <w:right w:val="single" w:sz="6" w:space="0" w:color="auto"/>
            </w:tcBorders>
          </w:tcPr>
          <w:p w14:paraId="3102AE7B" w14:textId="77777777" w:rsidR="009B6B42" w:rsidRDefault="009B6B42" w:rsidP="00941A41">
            <w:pPr>
              <w:spacing w:after="0"/>
              <w:jc w:val="center"/>
              <w:rPr>
                <w:rFonts w:ascii="Times New Roman" w:hAnsi="Times New Roman" w:cs="Times New Roman"/>
                <w:sz w:val="20"/>
                <w:szCs w:val="20"/>
              </w:rPr>
            </w:pPr>
          </w:p>
        </w:tc>
        <w:tc>
          <w:tcPr>
            <w:tcW w:w="1016" w:type="dxa"/>
            <w:tcBorders>
              <w:top w:val="single" w:sz="6" w:space="0" w:color="auto"/>
              <w:left w:val="single" w:sz="6" w:space="0" w:color="auto"/>
              <w:bottom w:val="single" w:sz="6" w:space="0" w:color="auto"/>
              <w:right w:val="single" w:sz="6" w:space="0" w:color="auto"/>
            </w:tcBorders>
          </w:tcPr>
          <w:p w14:paraId="4EEC81F8" w14:textId="77777777" w:rsidR="009B6B42" w:rsidRDefault="009B6B42" w:rsidP="00941A41">
            <w:pPr>
              <w:spacing w:after="0"/>
              <w:jc w:val="right"/>
              <w:rPr>
                <w:rFonts w:ascii="Times New Roman" w:hAnsi="Times New Roman" w:cs="Times New Roman"/>
                <w:sz w:val="20"/>
                <w:szCs w:val="20"/>
              </w:rPr>
            </w:pPr>
          </w:p>
        </w:tc>
        <w:tc>
          <w:tcPr>
            <w:tcW w:w="1116" w:type="dxa"/>
            <w:tcBorders>
              <w:top w:val="single" w:sz="6" w:space="0" w:color="auto"/>
              <w:left w:val="single" w:sz="6" w:space="0" w:color="auto"/>
              <w:bottom w:val="single" w:sz="6" w:space="0" w:color="auto"/>
              <w:right w:val="double" w:sz="4" w:space="0" w:color="auto"/>
            </w:tcBorders>
          </w:tcPr>
          <w:p w14:paraId="6242E667" w14:textId="77777777" w:rsidR="009B6B42" w:rsidRPr="00F039C5" w:rsidRDefault="009B6B42" w:rsidP="008962F8">
            <w:pPr>
              <w:spacing w:after="0"/>
              <w:jc w:val="right"/>
              <w:rPr>
                <w:rFonts w:ascii="Times New Roman" w:hAnsi="Times New Roman" w:cs="Times New Roman"/>
                <w:sz w:val="20"/>
                <w:szCs w:val="20"/>
              </w:rPr>
            </w:pPr>
          </w:p>
        </w:tc>
        <w:tc>
          <w:tcPr>
            <w:tcW w:w="1116" w:type="dxa"/>
            <w:tcBorders>
              <w:top w:val="single" w:sz="6" w:space="0" w:color="auto"/>
              <w:left w:val="double" w:sz="4" w:space="0" w:color="auto"/>
              <w:bottom w:val="single" w:sz="6" w:space="0" w:color="auto"/>
              <w:right w:val="double" w:sz="4" w:space="0" w:color="auto"/>
            </w:tcBorders>
          </w:tcPr>
          <w:p w14:paraId="3B8DD90E" w14:textId="77777777" w:rsidR="009B6B42" w:rsidRDefault="009B6B42" w:rsidP="005E741E">
            <w:pPr>
              <w:spacing w:after="0"/>
              <w:jc w:val="right"/>
              <w:rPr>
                <w:rFonts w:ascii="Times New Roman" w:hAnsi="Times New Roman" w:cs="Times New Roman"/>
                <w:sz w:val="20"/>
                <w:szCs w:val="20"/>
              </w:rPr>
            </w:pPr>
          </w:p>
        </w:tc>
        <w:tc>
          <w:tcPr>
            <w:tcW w:w="1162" w:type="dxa"/>
            <w:tcBorders>
              <w:top w:val="single" w:sz="6" w:space="0" w:color="auto"/>
              <w:left w:val="double" w:sz="4" w:space="0" w:color="auto"/>
              <w:bottom w:val="single" w:sz="6" w:space="0" w:color="auto"/>
              <w:right w:val="single" w:sz="6" w:space="0" w:color="auto"/>
            </w:tcBorders>
          </w:tcPr>
          <w:p w14:paraId="4BCCCD8B" w14:textId="77777777" w:rsidR="009B6B42" w:rsidRDefault="009B6B42" w:rsidP="00941A41">
            <w:pPr>
              <w:spacing w:after="0"/>
              <w:jc w:val="center"/>
              <w:rPr>
                <w:rFonts w:ascii="Times New Roman" w:hAnsi="Times New Roman" w:cs="Times New Roman"/>
                <w:sz w:val="20"/>
                <w:szCs w:val="20"/>
              </w:rPr>
            </w:pPr>
          </w:p>
        </w:tc>
        <w:tc>
          <w:tcPr>
            <w:tcW w:w="1038" w:type="dxa"/>
            <w:tcBorders>
              <w:top w:val="single" w:sz="6" w:space="0" w:color="auto"/>
              <w:left w:val="single" w:sz="6" w:space="0" w:color="auto"/>
              <w:bottom w:val="single" w:sz="6" w:space="0" w:color="auto"/>
              <w:right w:val="single" w:sz="6" w:space="0" w:color="auto"/>
            </w:tcBorders>
          </w:tcPr>
          <w:p w14:paraId="0AF63713" w14:textId="77777777" w:rsidR="009B6B42" w:rsidRDefault="009B6B42" w:rsidP="00941A41">
            <w:pPr>
              <w:spacing w:after="0"/>
              <w:jc w:val="right"/>
              <w:rPr>
                <w:rFonts w:ascii="Times New Roman" w:hAnsi="Times New Roman" w:cs="Times New Roman"/>
                <w:sz w:val="20"/>
                <w:szCs w:val="20"/>
              </w:rPr>
            </w:pPr>
          </w:p>
        </w:tc>
        <w:tc>
          <w:tcPr>
            <w:tcW w:w="1163" w:type="dxa"/>
            <w:tcBorders>
              <w:top w:val="single" w:sz="6" w:space="0" w:color="auto"/>
              <w:left w:val="single" w:sz="6" w:space="0" w:color="auto"/>
              <w:bottom w:val="single" w:sz="6" w:space="0" w:color="auto"/>
              <w:right w:val="double" w:sz="4" w:space="0" w:color="auto"/>
            </w:tcBorders>
          </w:tcPr>
          <w:p w14:paraId="22AB84C2" w14:textId="77777777" w:rsidR="009B6B42" w:rsidRPr="006A0234" w:rsidRDefault="009B6B42" w:rsidP="00506EA6">
            <w:pPr>
              <w:spacing w:after="0"/>
              <w:jc w:val="right"/>
              <w:rPr>
                <w:rFonts w:ascii="Times New Roman" w:hAnsi="Times New Roman" w:cs="Times New Roman"/>
                <w:sz w:val="20"/>
                <w:szCs w:val="20"/>
              </w:rPr>
            </w:pPr>
          </w:p>
        </w:tc>
        <w:tc>
          <w:tcPr>
            <w:tcW w:w="1143" w:type="dxa"/>
            <w:tcBorders>
              <w:top w:val="single" w:sz="6" w:space="0" w:color="auto"/>
              <w:left w:val="single" w:sz="6" w:space="0" w:color="auto"/>
              <w:bottom w:val="single" w:sz="6" w:space="0" w:color="auto"/>
              <w:right w:val="double" w:sz="4" w:space="0" w:color="auto"/>
            </w:tcBorders>
          </w:tcPr>
          <w:p w14:paraId="2910CA70" w14:textId="77777777" w:rsidR="009B6B42" w:rsidRDefault="009B6B42" w:rsidP="005E741E">
            <w:pPr>
              <w:spacing w:after="0"/>
              <w:jc w:val="right"/>
              <w:rPr>
                <w:rFonts w:ascii="Times New Roman" w:hAnsi="Times New Roman" w:cs="Times New Roman"/>
                <w:b/>
                <w:sz w:val="20"/>
                <w:szCs w:val="20"/>
              </w:rPr>
            </w:pPr>
          </w:p>
        </w:tc>
      </w:tr>
      <w:tr w:rsidR="009B6B42" w14:paraId="616AE9B1" w14:textId="77777777" w:rsidTr="009B6B42">
        <w:tc>
          <w:tcPr>
            <w:tcW w:w="4347" w:type="dxa"/>
            <w:tcBorders>
              <w:top w:val="single" w:sz="6" w:space="0" w:color="auto"/>
              <w:left w:val="double" w:sz="4" w:space="0" w:color="auto"/>
              <w:bottom w:val="single" w:sz="6" w:space="0" w:color="auto"/>
              <w:right w:val="double" w:sz="4" w:space="0" w:color="auto"/>
            </w:tcBorders>
          </w:tcPr>
          <w:p w14:paraId="32CEB166" w14:textId="77777777" w:rsidR="009B6B42" w:rsidRDefault="009B6B42" w:rsidP="00941A41">
            <w:pPr>
              <w:spacing w:after="0"/>
              <w:rPr>
                <w:rFonts w:ascii="Times New Roman" w:hAnsi="Times New Roman" w:cs="Times New Roman"/>
                <w:sz w:val="20"/>
                <w:szCs w:val="20"/>
              </w:rPr>
            </w:pPr>
            <w:r>
              <w:rPr>
                <w:rFonts w:ascii="Times New Roman" w:hAnsi="Times New Roman" w:cs="Times New Roman"/>
                <w:sz w:val="20"/>
                <w:szCs w:val="20"/>
              </w:rPr>
              <w:t>Year 3 – second biannual hay/browse analysis</w:t>
            </w:r>
          </w:p>
        </w:tc>
        <w:tc>
          <w:tcPr>
            <w:tcW w:w="1075" w:type="dxa"/>
            <w:tcBorders>
              <w:top w:val="single" w:sz="6" w:space="0" w:color="auto"/>
              <w:left w:val="double" w:sz="4" w:space="0" w:color="auto"/>
              <w:bottom w:val="single" w:sz="6" w:space="0" w:color="auto"/>
              <w:right w:val="single" w:sz="6" w:space="0" w:color="auto"/>
            </w:tcBorders>
          </w:tcPr>
          <w:p w14:paraId="3E7869FA" w14:textId="77777777" w:rsidR="009B6B42" w:rsidRPr="00A6393C" w:rsidRDefault="009B6B42" w:rsidP="00B8400E">
            <w:pPr>
              <w:spacing w:after="0"/>
              <w:jc w:val="center"/>
              <w:rPr>
                <w:rFonts w:ascii="Times New Roman" w:hAnsi="Times New Roman" w:cs="Times New Roman"/>
                <w:sz w:val="20"/>
                <w:szCs w:val="20"/>
              </w:rPr>
            </w:pPr>
            <w:r>
              <w:rPr>
                <w:rFonts w:ascii="Times New Roman" w:hAnsi="Times New Roman" w:cs="Times New Roman"/>
                <w:sz w:val="20"/>
                <w:szCs w:val="20"/>
              </w:rPr>
              <w:t>50</w:t>
            </w:r>
          </w:p>
        </w:tc>
        <w:tc>
          <w:tcPr>
            <w:tcW w:w="1016" w:type="dxa"/>
            <w:tcBorders>
              <w:top w:val="single" w:sz="6" w:space="0" w:color="auto"/>
              <w:left w:val="single" w:sz="6" w:space="0" w:color="auto"/>
              <w:bottom w:val="single" w:sz="6" w:space="0" w:color="auto"/>
              <w:right w:val="single" w:sz="6" w:space="0" w:color="auto"/>
            </w:tcBorders>
          </w:tcPr>
          <w:p w14:paraId="2C866015" w14:textId="77777777" w:rsidR="009B6B42" w:rsidRPr="00A6393C" w:rsidRDefault="009B6B42" w:rsidP="00B8400E">
            <w:pPr>
              <w:spacing w:after="0"/>
              <w:jc w:val="right"/>
              <w:rPr>
                <w:rFonts w:ascii="Times New Roman" w:hAnsi="Times New Roman" w:cs="Times New Roman"/>
                <w:sz w:val="20"/>
                <w:szCs w:val="20"/>
              </w:rPr>
            </w:pPr>
            <w:r>
              <w:rPr>
                <w:rFonts w:ascii="Times New Roman" w:hAnsi="Times New Roman" w:cs="Times New Roman"/>
                <w:sz w:val="20"/>
                <w:szCs w:val="20"/>
              </w:rPr>
              <w:t>$10.40</w:t>
            </w:r>
          </w:p>
        </w:tc>
        <w:tc>
          <w:tcPr>
            <w:tcW w:w="1116" w:type="dxa"/>
            <w:tcBorders>
              <w:top w:val="single" w:sz="6" w:space="0" w:color="auto"/>
              <w:left w:val="single" w:sz="6" w:space="0" w:color="auto"/>
              <w:bottom w:val="single" w:sz="6" w:space="0" w:color="auto"/>
              <w:right w:val="double" w:sz="4" w:space="0" w:color="auto"/>
            </w:tcBorders>
          </w:tcPr>
          <w:p w14:paraId="3A20CB50" w14:textId="77777777" w:rsidR="009B6B42" w:rsidRPr="000452FF" w:rsidRDefault="009B6B42" w:rsidP="00B8400E">
            <w:pPr>
              <w:spacing w:after="0"/>
              <w:jc w:val="right"/>
              <w:rPr>
                <w:rFonts w:ascii="Times New Roman" w:hAnsi="Times New Roman" w:cs="Times New Roman"/>
                <w:sz w:val="20"/>
                <w:szCs w:val="20"/>
              </w:rPr>
            </w:pPr>
            <w:r w:rsidRPr="000452FF">
              <w:rPr>
                <w:rFonts w:ascii="Times New Roman" w:hAnsi="Times New Roman" w:cs="Times New Roman"/>
                <w:sz w:val="20"/>
                <w:szCs w:val="20"/>
              </w:rPr>
              <w:t>$520.00</w:t>
            </w:r>
          </w:p>
        </w:tc>
        <w:tc>
          <w:tcPr>
            <w:tcW w:w="1116" w:type="dxa"/>
            <w:tcBorders>
              <w:top w:val="single" w:sz="6" w:space="0" w:color="auto"/>
              <w:left w:val="double" w:sz="4" w:space="0" w:color="auto"/>
              <w:bottom w:val="single" w:sz="6" w:space="0" w:color="auto"/>
              <w:right w:val="double" w:sz="4" w:space="0" w:color="auto"/>
            </w:tcBorders>
          </w:tcPr>
          <w:p w14:paraId="1724930F" w14:textId="77777777" w:rsidR="009B6B42" w:rsidRDefault="009B6B42" w:rsidP="005E741E">
            <w:pPr>
              <w:spacing w:after="0"/>
              <w:jc w:val="right"/>
              <w:rPr>
                <w:rFonts w:ascii="Times New Roman" w:hAnsi="Times New Roman" w:cs="Times New Roman"/>
                <w:sz w:val="20"/>
                <w:szCs w:val="20"/>
              </w:rPr>
            </w:pPr>
          </w:p>
        </w:tc>
        <w:tc>
          <w:tcPr>
            <w:tcW w:w="1162" w:type="dxa"/>
            <w:tcBorders>
              <w:top w:val="single" w:sz="6" w:space="0" w:color="auto"/>
              <w:left w:val="double" w:sz="4" w:space="0" w:color="auto"/>
              <w:bottom w:val="single" w:sz="6" w:space="0" w:color="auto"/>
              <w:right w:val="single" w:sz="6" w:space="0" w:color="auto"/>
            </w:tcBorders>
          </w:tcPr>
          <w:p w14:paraId="712A5580" w14:textId="77777777" w:rsidR="009B6B42" w:rsidRPr="006A0234" w:rsidRDefault="009B6B42" w:rsidP="00B8400E">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1038" w:type="dxa"/>
            <w:tcBorders>
              <w:top w:val="single" w:sz="6" w:space="0" w:color="auto"/>
              <w:left w:val="single" w:sz="6" w:space="0" w:color="auto"/>
              <w:bottom w:val="single" w:sz="6" w:space="0" w:color="auto"/>
              <w:right w:val="single" w:sz="6" w:space="0" w:color="auto"/>
            </w:tcBorders>
          </w:tcPr>
          <w:p w14:paraId="001F1267" w14:textId="77777777" w:rsidR="009B6B42" w:rsidRPr="006A0234" w:rsidRDefault="009B6B42" w:rsidP="00B8400E">
            <w:pPr>
              <w:spacing w:after="0"/>
              <w:jc w:val="right"/>
              <w:rPr>
                <w:rFonts w:ascii="Times New Roman" w:hAnsi="Times New Roman" w:cs="Times New Roman"/>
                <w:sz w:val="20"/>
                <w:szCs w:val="20"/>
              </w:rPr>
            </w:pPr>
            <w:r w:rsidRPr="006A0234">
              <w:rPr>
                <w:rFonts w:ascii="Times New Roman" w:hAnsi="Times New Roman" w:cs="Times New Roman"/>
                <w:sz w:val="20"/>
                <w:szCs w:val="20"/>
              </w:rPr>
              <w:t>$10.40</w:t>
            </w:r>
          </w:p>
        </w:tc>
        <w:tc>
          <w:tcPr>
            <w:tcW w:w="1163" w:type="dxa"/>
            <w:tcBorders>
              <w:top w:val="single" w:sz="6" w:space="0" w:color="auto"/>
              <w:left w:val="single" w:sz="6" w:space="0" w:color="auto"/>
              <w:bottom w:val="single" w:sz="6" w:space="0" w:color="auto"/>
              <w:right w:val="double" w:sz="4" w:space="0" w:color="auto"/>
            </w:tcBorders>
          </w:tcPr>
          <w:p w14:paraId="4311B97B" w14:textId="77777777" w:rsidR="009B6B42" w:rsidRPr="006A0234" w:rsidRDefault="009B6B42" w:rsidP="00B8400E">
            <w:pPr>
              <w:spacing w:after="0"/>
              <w:jc w:val="right"/>
              <w:rPr>
                <w:rFonts w:ascii="Times New Roman" w:hAnsi="Times New Roman" w:cs="Times New Roman"/>
                <w:sz w:val="20"/>
                <w:szCs w:val="20"/>
              </w:rPr>
            </w:pPr>
            <w:r w:rsidRPr="006A0234">
              <w:rPr>
                <w:rFonts w:ascii="Times New Roman" w:hAnsi="Times New Roman" w:cs="Times New Roman"/>
                <w:sz w:val="20"/>
                <w:szCs w:val="20"/>
              </w:rPr>
              <w:t>$1,</w:t>
            </w:r>
            <w:r>
              <w:rPr>
                <w:rFonts w:ascii="Times New Roman" w:hAnsi="Times New Roman" w:cs="Times New Roman"/>
                <w:sz w:val="20"/>
                <w:szCs w:val="20"/>
              </w:rPr>
              <w:t>040</w:t>
            </w:r>
            <w:r w:rsidRPr="006A0234">
              <w:rPr>
                <w:rFonts w:ascii="Times New Roman" w:hAnsi="Times New Roman" w:cs="Times New Roman"/>
                <w:sz w:val="20"/>
                <w:szCs w:val="20"/>
              </w:rPr>
              <w:t>.00</w:t>
            </w:r>
          </w:p>
        </w:tc>
        <w:tc>
          <w:tcPr>
            <w:tcW w:w="1143" w:type="dxa"/>
            <w:tcBorders>
              <w:top w:val="single" w:sz="6" w:space="0" w:color="auto"/>
              <w:left w:val="single" w:sz="6" w:space="0" w:color="auto"/>
              <w:bottom w:val="single" w:sz="6" w:space="0" w:color="auto"/>
              <w:right w:val="double" w:sz="4" w:space="0" w:color="auto"/>
            </w:tcBorders>
          </w:tcPr>
          <w:p w14:paraId="1A058924" w14:textId="77777777" w:rsidR="009B6B42" w:rsidRDefault="009B6B42" w:rsidP="005E741E">
            <w:pPr>
              <w:spacing w:after="0"/>
              <w:jc w:val="right"/>
              <w:rPr>
                <w:rFonts w:ascii="Times New Roman" w:hAnsi="Times New Roman" w:cs="Times New Roman"/>
                <w:b/>
                <w:sz w:val="20"/>
                <w:szCs w:val="20"/>
              </w:rPr>
            </w:pPr>
          </w:p>
        </w:tc>
      </w:tr>
      <w:tr w:rsidR="009B6B42" w14:paraId="21E09748" w14:textId="77777777" w:rsidTr="009B6B42">
        <w:tc>
          <w:tcPr>
            <w:tcW w:w="4347" w:type="dxa"/>
            <w:tcBorders>
              <w:top w:val="single" w:sz="6" w:space="0" w:color="auto"/>
              <w:left w:val="double" w:sz="4" w:space="0" w:color="auto"/>
              <w:bottom w:val="single" w:sz="6" w:space="0" w:color="auto"/>
              <w:right w:val="double" w:sz="4" w:space="0" w:color="auto"/>
            </w:tcBorders>
          </w:tcPr>
          <w:p w14:paraId="5D940D4E" w14:textId="77777777" w:rsidR="009B6B42" w:rsidRPr="00282144" w:rsidRDefault="009B6B42" w:rsidP="00941A41">
            <w:pPr>
              <w:spacing w:after="0"/>
              <w:rPr>
                <w:rFonts w:ascii="Times New Roman" w:hAnsi="Times New Roman" w:cs="Times New Roman"/>
                <w:sz w:val="20"/>
                <w:szCs w:val="20"/>
              </w:rPr>
            </w:pPr>
            <w:r>
              <w:rPr>
                <w:rFonts w:ascii="Times New Roman" w:hAnsi="Times New Roman" w:cs="Times New Roman"/>
                <w:sz w:val="20"/>
                <w:szCs w:val="20"/>
              </w:rPr>
              <w:t>Year 3 – second biannual hay/browse analysis</w:t>
            </w:r>
          </w:p>
        </w:tc>
        <w:tc>
          <w:tcPr>
            <w:tcW w:w="1075" w:type="dxa"/>
            <w:tcBorders>
              <w:top w:val="single" w:sz="6" w:space="0" w:color="auto"/>
              <w:left w:val="double" w:sz="4" w:space="0" w:color="auto"/>
              <w:bottom w:val="single" w:sz="6" w:space="0" w:color="auto"/>
              <w:right w:val="single" w:sz="6" w:space="0" w:color="auto"/>
            </w:tcBorders>
          </w:tcPr>
          <w:p w14:paraId="13CF59A8" w14:textId="77777777" w:rsidR="009B6B42" w:rsidRPr="00A6393C" w:rsidRDefault="009B6B42" w:rsidP="00B8400E">
            <w:pPr>
              <w:spacing w:after="0"/>
              <w:jc w:val="center"/>
              <w:rPr>
                <w:rFonts w:ascii="Times New Roman" w:hAnsi="Times New Roman" w:cs="Times New Roman"/>
                <w:sz w:val="20"/>
                <w:szCs w:val="20"/>
              </w:rPr>
            </w:pPr>
            <w:r>
              <w:rPr>
                <w:rFonts w:ascii="Times New Roman" w:hAnsi="Times New Roman" w:cs="Times New Roman"/>
                <w:sz w:val="20"/>
                <w:szCs w:val="20"/>
              </w:rPr>
              <w:t>50</w:t>
            </w:r>
          </w:p>
        </w:tc>
        <w:tc>
          <w:tcPr>
            <w:tcW w:w="1016" w:type="dxa"/>
            <w:tcBorders>
              <w:top w:val="single" w:sz="6" w:space="0" w:color="auto"/>
              <w:left w:val="single" w:sz="6" w:space="0" w:color="auto"/>
              <w:bottom w:val="single" w:sz="6" w:space="0" w:color="auto"/>
              <w:right w:val="single" w:sz="6" w:space="0" w:color="auto"/>
            </w:tcBorders>
          </w:tcPr>
          <w:p w14:paraId="14AF403A" w14:textId="77777777" w:rsidR="009B6B42" w:rsidRPr="00A6393C" w:rsidRDefault="009B6B42" w:rsidP="00B8400E">
            <w:pPr>
              <w:spacing w:after="0"/>
              <w:jc w:val="right"/>
              <w:rPr>
                <w:rFonts w:ascii="Times New Roman" w:hAnsi="Times New Roman" w:cs="Times New Roman"/>
                <w:sz w:val="20"/>
                <w:szCs w:val="20"/>
              </w:rPr>
            </w:pPr>
            <w:r>
              <w:rPr>
                <w:rFonts w:ascii="Times New Roman" w:hAnsi="Times New Roman" w:cs="Times New Roman"/>
                <w:sz w:val="20"/>
                <w:szCs w:val="20"/>
              </w:rPr>
              <w:t>$10.40</w:t>
            </w:r>
          </w:p>
        </w:tc>
        <w:tc>
          <w:tcPr>
            <w:tcW w:w="1116" w:type="dxa"/>
            <w:tcBorders>
              <w:top w:val="single" w:sz="6" w:space="0" w:color="auto"/>
              <w:left w:val="single" w:sz="6" w:space="0" w:color="auto"/>
              <w:bottom w:val="single" w:sz="6" w:space="0" w:color="auto"/>
              <w:right w:val="double" w:sz="4" w:space="0" w:color="auto"/>
            </w:tcBorders>
          </w:tcPr>
          <w:p w14:paraId="223F9B68" w14:textId="77777777" w:rsidR="009B6B42" w:rsidRPr="009B6B42" w:rsidRDefault="009B6B42" w:rsidP="00B8400E">
            <w:pPr>
              <w:spacing w:after="0"/>
              <w:jc w:val="right"/>
              <w:rPr>
                <w:rFonts w:ascii="Times New Roman" w:hAnsi="Times New Roman" w:cs="Times New Roman"/>
                <w:sz w:val="20"/>
                <w:szCs w:val="20"/>
                <w:u w:val="double"/>
              </w:rPr>
            </w:pPr>
            <w:r w:rsidRPr="009B6B42">
              <w:rPr>
                <w:rFonts w:ascii="Times New Roman" w:hAnsi="Times New Roman" w:cs="Times New Roman"/>
                <w:sz w:val="20"/>
                <w:szCs w:val="20"/>
                <w:u w:val="double"/>
              </w:rPr>
              <w:t>$520.00</w:t>
            </w:r>
          </w:p>
        </w:tc>
        <w:tc>
          <w:tcPr>
            <w:tcW w:w="1116" w:type="dxa"/>
            <w:tcBorders>
              <w:top w:val="single" w:sz="6" w:space="0" w:color="auto"/>
              <w:left w:val="double" w:sz="4" w:space="0" w:color="auto"/>
              <w:bottom w:val="single" w:sz="6" w:space="0" w:color="auto"/>
              <w:right w:val="double" w:sz="4" w:space="0" w:color="auto"/>
            </w:tcBorders>
          </w:tcPr>
          <w:p w14:paraId="7D39B04E" w14:textId="77777777" w:rsidR="009B6B42" w:rsidRDefault="009B6B42" w:rsidP="005E741E">
            <w:pPr>
              <w:spacing w:after="0"/>
              <w:jc w:val="right"/>
              <w:rPr>
                <w:rFonts w:ascii="Times New Roman" w:hAnsi="Times New Roman" w:cs="Times New Roman"/>
                <w:sz w:val="20"/>
                <w:szCs w:val="20"/>
              </w:rPr>
            </w:pPr>
          </w:p>
        </w:tc>
        <w:tc>
          <w:tcPr>
            <w:tcW w:w="1162" w:type="dxa"/>
            <w:tcBorders>
              <w:top w:val="single" w:sz="6" w:space="0" w:color="auto"/>
              <w:left w:val="double" w:sz="4" w:space="0" w:color="auto"/>
              <w:bottom w:val="single" w:sz="6" w:space="0" w:color="auto"/>
              <w:right w:val="single" w:sz="6" w:space="0" w:color="auto"/>
            </w:tcBorders>
          </w:tcPr>
          <w:p w14:paraId="292DA423" w14:textId="77777777" w:rsidR="009B6B42" w:rsidRPr="006A0234" w:rsidRDefault="009B6B42" w:rsidP="00B8400E">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1038" w:type="dxa"/>
            <w:tcBorders>
              <w:top w:val="single" w:sz="6" w:space="0" w:color="auto"/>
              <w:left w:val="single" w:sz="6" w:space="0" w:color="auto"/>
              <w:bottom w:val="single" w:sz="6" w:space="0" w:color="auto"/>
              <w:right w:val="single" w:sz="6" w:space="0" w:color="auto"/>
            </w:tcBorders>
          </w:tcPr>
          <w:p w14:paraId="56FE99AC" w14:textId="77777777" w:rsidR="009B6B42" w:rsidRPr="006A0234" w:rsidRDefault="009B6B42" w:rsidP="00B8400E">
            <w:pPr>
              <w:spacing w:after="0"/>
              <w:jc w:val="right"/>
              <w:rPr>
                <w:rFonts w:ascii="Times New Roman" w:hAnsi="Times New Roman" w:cs="Times New Roman"/>
                <w:sz w:val="20"/>
                <w:szCs w:val="20"/>
              </w:rPr>
            </w:pPr>
            <w:r w:rsidRPr="006A0234">
              <w:rPr>
                <w:rFonts w:ascii="Times New Roman" w:hAnsi="Times New Roman" w:cs="Times New Roman"/>
                <w:sz w:val="20"/>
                <w:szCs w:val="20"/>
              </w:rPr>
              <w:t>$10.40</w:t>
            </w:r>
          </w:p>
        </w:tc>
        <w:tc>
          <w:tcPr>
            <w:tcW w:w="1163" w:type="dxa"/>
            <w:tcBorders>
              <w:top w:val="single" w:sz="6" w:space="0" w:color="auto"/>
              <w:left w:val="single" w:sz="6" w:space="0" w:color="auto"/>
              <w:bottom w:val="single" w:sz="6" w:space="0" w:color="auto"/>
              <w:right w:val="double" w:sz="4" w:space="0" w:color="auto"/>
            </w:tcBorders>
          </w:tcPr>
          <w:p w14:paraId="005A35DA" w14:textId="77777777" w:rsidR="009B6B42" w:rsidRPr="009B6B42" w:rsidRDefault="009B6B42" w:rsidP="00B8400E">
            <w:pPr>
              <w:spacing w:after="0"/>
              <w:jc w:val="right"/>
              <w:rPr>
                <w:rFonts w:ascii="Times New Roman" w:hAnsi="Times New Roman" w:cs="Times New Roman"/>
                <w:sz w:val="20"/>
                <w:szCs w:val="20"/>
                <w:u w:val="double"/>
              </w:rPr>
            </w:pPr>
            <w:r w:rsidRPr="009B6B42">
              <w:rPr>
                <w:rFonts w:ascii="Times New Roman" w:hAnsi="Times New Roman" w:cs="Times New Roman"/>
                <w:sz w:val="20"/>
                <w:szCs w:val="20"/>
                <w:u w:val="double"/>
              </w:rPr>
              <w:t>$1,040.00</w:t>
            </w:r>
          </w:p>
        </w:tc>
        <w:tc>
          <w:tcPr>
            <w:tcW w:w="1143" w:type="dxa"/>
            <w:tcBorders>
              <w:top w:val="single" w:sz="6" w:space="0" w:color="auto"/>
              <w:left w:val="single" w:sz="6" w:space="0" w:color="auto"/>
              <w:bottom w:val="single" w:sz="6" w:space="0" w:color="auto"/>
              <w:right w:val="double" w:sz="4" w:space="0" w:color="auto"/>
            </w:tcBorders>
          </w:tcPr>
          <w:p w14:paraId="1FD0A1EC" w14:textId="77777777" w:rsidR="009B6B42" w:rsidRDefault="009B6B42" w:rsidP="005E741E">
            <w:pPr>
              <w:spacing w:after="0"/>
              <w:jc w:val="right"/>
              <w:rPr>
                <w:rFonts w:ascii="Times New Roman" w:hAnsi="Times New Roman" w:cs="Times New Roman"/>
                <w:b/>
                <w:sz w:val="20"/>
                <w:szCs w:val="20"/>
              </w:rPr>
            </w:pPr>
          </w:p>
        </w:tc>
      </w:tr>
      <w:tr w:rsidR="009B6B42" w14:paraId="79F1CD43" w14:textId="77777777" w:rsidTr="009B6B42">
        <w:tc>
          <w:tcPr>
            <w:tcW w:w="4347" w:type="dxa"/>
            <w:tcBorders>
              <w:top w:val="single" w:sz="6" w:space="0" w:color="auto"/>
              <w:left w:val="double" w:sz="4" w:space="0" w:color="auto"/>
              <w:bottom w:val="single" w:sz="6" w:space="0" w:color="auto"/>
              <w:right w:val="double" w:sz="4" w:space="0" w:color="auto"/>
            </w:tcBorders>
          </w:tcPr>
          <w:p w14:paraId="40185E07" w14:textId="77777777" w:rsidR="009B6B42" w:rsidRPr="00806AF8" w:rsidRDefault="009B6B42" w:rsidP="00806AF8">
            <w:pPr>
              <w:spacing w:after="0"/>
              <w:jc w:val="right"/>
              <w:rPr>
                <w:rFonts w:ascii="Times New Roman" w:hAnsi="Times New Roman" w:cs="Times New Roman"/>
                <w:b/>
                <w:sz w:val="20"/>
                <w:szCs w:val="20"/>
              </w:rPr>
            </w:pPr>
          </w:p>
        </w:tc>
        <w:tc>
          <w:tcPr>
            <w:tcW w:w="1075" w:type="dxa"/>
            <w:tcBorders>
              <w:top w:val="single" w:sz="6" w:space="0" w:color="auto"/>
              <w:left w:val="double" w:sz="4" w:space="0" w:color="auto"/>
              <w:bottom w:val="single" w:sz="6" w:space="0" w:color="auto"/>
              <w:right w:val="single" w:sz="6" w:space="0" w:color="auto"/>
            </w:tcBorders>
          </w:tcPr>
          <w:p w14:paraId="01DC0737" w14:textId="77777777" w:rsidR="009B6B42" w:rsidRDefault="009B6B42" w:rsidP="00941A41">
            <w:pPr>
              <w:spacing w:after="0"/>
              <w:jc w:val="center"/>
              <w:rPr>
                <w:rFonts w:ascii="Times New Roman" w:hAnsi="Times New Roman" w:cs="Times New Roman"/>
                <w:sz w:val="20"/>
                <w:szCs w:val="20"/>
              </w:rPr>
            </w:pPr>
          </w:p>
        </w:tc>
        <w:tc>
          <w:tcPr>
            <w:tcW w:w="1016" w:type="dxa"/>
            <w:tcBorders>
              <w:top w:val="single" w:sz="6" w:space="0" w:color="auto"/>
              <w:left w:val="single" w:sz="6" w:space="0" w:color="auto"/>
              <w:bottom w:val="single" w:sz="6" w:space="0" w:color="auto"/>
              <w:right w:val="single" w:sz="6" w:space="0" w:color="auto"/>
            </w:tcBorders>
          </w:tcPr>
          <w:p w14:paraId="710D8632" w14:textId="77777777" w:rsidR="009B6B42" w:rsidRDefault="009B6B42" w:rsidP="00941A41">
            <w:pPr>
              <w:spacing w:after="0"/>
              <w:jc w:val="right"/>
              <w:rPr>
                <w:rFonts w:ascii="Times New Roman" w:hAnsi="Times New Roman" w:cs="Times New Roman"/>
                <w:sz w:val="20"/>
                <w:szCs w:val="20"/>
              </w:rPr>
            </w:pPr>
          </w:p>
        </w:tc>
        <w:tc>
          <w:tcPr>
            <w:tcW w:w="1116" w:type="dxa"/>
            <w:tcBorders>
              <w:top w:val="single" w:sz="6" w:space="0" w:color="auto"/>
              <w:left w:val="single" w:sz="6" w:space="0" w:color="auto"/>
              <w:bottom w:val="single" w:sz="6" w:space="0" w:color="auto"/>
              <w:right w:val="double" w:sz="4" w:space="0" w:color="auto"/>
            </w:tcBorders>
          </w:tcPr>
          <w:p w14:paraId="2EE2155E" w14:textId="77777777" w:rsidR="009B6B42" w:rsidRDefault="009B6B42" w:rsidP="005E741E">
            <w:pPr>
              <w:spacing w:after="0"/>
              <w:jc w:val="right"/>
              <w:rPr>
                <w:rFonts w:ascii="Times New Roman" w:hAnsi="Times New Roman" w:cs="Times New Roman"/>
                <w:sz w:val="20"/>
                <w:szCs w:val="20"/>
                <w:u w:val="double"/>
              </w:rPr>
            </w:pPr>
          </w:p>
        </w:tc>
        <w:tc>
          <w:tcPr>
            <w:tcW w:w="1116" w:type="dxa"/>
            <w:tcBorders>
              <w:top w:val="single" w:sz="6" w:space="0" w:color="auto"/>
              <w:left w:val="double" w:sz="4" w:space="0" w:color="auto"/>
              <w:bottom w:val="single" w:sz="6" w:space="0" w:color="auto"/>
              <w:right w:val="double" w:sz="4" w:space="0" w:color="auto"/>
            </w:tcBorders>
          </w:tcPr>
          <w:p w14:paraId="325A829A" w14:textId="77777777" w:rsidR="009B6B42" w:rsidRPr="00806AF8" w:rsidRDefault="009B6B42" w:rsidP="000452FF">
            <w:pPr>
              <w:spacing w:after="0"/>
              <w:jc w:val="right"/>
              <w:rPr>
                <w:rFonts w:ascii="Times New Roman" w:hAnsi="Times New Roman" w:cs="Times New Roman"/>
                <w:b/>
                <w:sz w:val="20"/>
                <w:szCs w:val="20"/>
              </w:rPr>
            </w:pPr>
            <w:r>
              <w:rPr>
                <w:rFonts w:ascii="Times New Roman" w:hAnsi="Times New Roman" w:cs="Times New Roman"/>
                <w:b/>
                <w:sz w:val="20"/>
                <w:szCs w:val="20"/>
              </w:rPr>
              <w:t>$1,040.00</w:t>
            </w:r>
          </w:p>
        </w:tc>
        <w:tc>
          <w:tcPr>
            <w:tcW w:w="1162" w:type="dxa"/>
            <w:tcBorders>
              <w:top w:val="single" w:sz="6" w:space="0" w:color="auto"/>
              <w:left w:val="double" w:sz="4" w:space="0" w:color="auto"/>
              <w:bottom w:val="single" w:sz="6" w:space="0" w:color="auto"/>
              <w:right w:val="single" w:sz="6" w:space="0" w:color="auto"/>
            </w:tcBorders>
          </w:tcPr>
          <w:p w14:paraId="55512469" w14:textId="77777777" w:rsidR="009B6B42" w:rsidRDefault="009B6B42" w:rsidP="00941A41">
            <w:pPr>
              <w:spacing w:after="0"/>
              <w:jc w:val="center"/>
              <w:rPr>
                <w:rFonts w:ascii="Times New Roman" w:hAnsi="Times New Roman" w:cs="Times New Roman"/>
                <w:sz w:val="20"/>
                <w:szCs w:val="20"/>
              </w:rPr>
            </w:pPr>
          </w:p>
        </w:tc>
        <w:tc>
          <w:tcPr>
            <w:tcW w:w="1038" w:type="dxa"/>
            <w:tcBorders>
              <w:top w:val="single" w:sz="6" w:space="0" w:color="auto"/>
              <w:left w:val="single" w:sz="6" w:space="0" w:color="auto"/>
              <w:bottom w:val="single" w:sz="6" w:space="0" w:color="auto"/>
              <w:right w:val="single" w:sz="6" w:space="0" w:color="auto"/>
            </w:tcBorders>
          </w:tcPr>
          <w:p w14:paraId="24EEC183" w14:textId="77777777" w:rsidR="009B6B42" w:rsidRDefault="009B6B42" w:rsidP="00941A41">
            <w:pPr>
              <w:spacing w:after="0"/>
              <w:jc w:val="right"/>
              <w:rPr>
                <w:rFonts w:ascii="Times New Roman" w:hAnsi="Times New Roman" w:cs="Times New Roman"/>
                <w:sz w:val="20"/>
                <w:szCs w:val="20"/>
              </w:rPr>
            </w:pPr>
          </w:p>
        </w:tc>
        <w:tc>
          <w:tcPr>
            <w:tcW w:w="1163" w:type="dxa"/>
            <w:tcBorders>
              <w:top w:val="single" w:sz="6" w:space="0" w:color="auto"/>
              <w:left w:val="single" w:sz="6" w:space="0" w:color="auto"/>
              <w:bottom w:val="single" w:sz="6" w:space="0" w:color="auto"/>
              <w:right w:val="double" w:sz="4" w:space="0" w:color="auto"/>
            </w:tcBorders>
          </w:tcPr>
          <w:p w14:paraId="7682919B" w14:textId="77777777" w:rsidR="009B6B42" w:rsidRPr="006A0234" w:rsidRDefault="009B6B42" w:rsidP="00941A41">
            <w:pPr>
              <w:spacing w:after="0"/>
              <w:jc w:val="right"/>
              <w:rPr>
                <w:rFonts w:ascii="Times New Roman" w:hAnsi="Times New Roman" w:cs="Times New Roman"/>
                <w:sz w:val="20"/>
                <w:szCs w:val="20"/>
              </w:rPr>
            </w:pPr>
          </w:p>
        </w:tc>
        <w:tc>
          <w:tcPr>
            <w:tcW w:w="1143" w:type="dxa"/>
            <w:tcBorders>
              <w:top w:val="single" w:sz="6" w:space="0" w:color="auto"/>
              <w:left w:val="single" w:sz="6" w:space="0" w:color="auto"/>
              <w:bottom w:val="single" w:sz="6" w:space="0" w:color="auto"/>
              <w:right w:val="double" w:sz="4" w:space="0" w:color="auto"/>
            </w:tcBorders>
          </w:tcPr>
          <w:p w14:paraId="0A18F168" w14:textId="77777777" w:rsidR="009B6B42" w:rsidRDefault="009B6B42" w:rsidP="001F46B8">
            <w:pPr>
              <w:spacing w:after="0"/>
              <w:jc w:val="right"/>
              <w:rPr>
                <w:rFonts w:ascii="Times New Roman" w:hAnsi="Times New Roman" w:cs="Times New Roman"/>
                <w:b/>
                <w:sz w:val="20"/>
                <w:szCs w:val="20"/>
              </w:rPr>
            </w:pPr>
            <w:r>
              <w:rPr>
                <w:rFonts w:ascii="Times New Roman" w:hAnsi="Times New Roman" w:cs="Times New Roman"/>
                <w:b/>
                <w:sz w:val="20"/>
                <w:szCs w:val="20"/>
              </w:rPr>
              <w:t>$2,080.00</w:t>
            </w:r>
          </w:p>
        </w:tc>
      </w:tr>
      <w:tr w:rsidR="009B6B42" w14:paraId="250CE4C4" w14:textId="77777777" w:rsidTr="009B6B42">
        <w:tc>
          <w:tcPr>
            <w:tcW w:w="4347" w:type="dxa"/>
            <w:tcBorders>
              <w:top w:val="single" w:sz="6" w:space="0" w:color="auto"/>
              <w:left w:val="double" w:sz="4" w:space="0" w:color="auto"/>
              <w:bottom w:val="single" w:sz="6" w:space="0" w:color="auto"/>
              <w:right w:val="double" w:sz="4" w:space="0" w:color="auto"/>
            </w:tcBorders>
          </w:tcPr>
          <w:p w14:paraId="4C5C832B" w14:textId="77777777" w:rsidR="009B6B42" w:rsidRDefault="009B6B42">
            <w:pPr>
              <w:spacing w:after="0"/>
              <w:jc w:val="center"/>
              <w:rPr>
                <w:rFonts w:ascii="Times New Roman" w:hAnsi="Times New Roman" w:cs="Times New Roman"/>
                <w:b/>
                <w:sz w:val="20"/>
                <w:szCs w:val="20"/>
              </w:rPr>
            </w:pPr>
            <w:r>
              <w:rPr>
                <w:rFonts w:ascii="Times New Roman" w:hAnsi="Times New Roman" w:cs="Times New Roman"/>
                <w:b/>
                <w:sz w:val="20"/>
                <w:szCs w:val="20"/>
              </w:rPr>
              <w:t>Other budget estimates for three year period:</w:t>
            </w:r>
          </w:p>
        </w:tc>
        <w:tc>
          <w:tcPr>
            <w:tcW w:w="1075" w:type="dxa"/>
            <w:tcBorders>
              <w:top w:val="single" w:sz="6" w:space="0" w:color="auto"/>
              <w:left w:val="double" w:sz="4" w:space="0" w:color="auto"/>
              <w:bottom w:val="single" w:sz="6" w:space="0" w:color="auto"/>
              <w:right w:val="single" w:sz="6" w:space="0" w:color="auto"/>
            </w:tcBorders>
          </w:tcPr>
          <w:p w14:paraId="1420DDF8" w14:textId="77777777" w:rsidR="009B6B42" w:rsidRDefault="009B6B42" w:rsidP="006A0234">
            <w:pPr>
              <w:spacing w:after="0"/>
              <w:jc w:val="center"/>
              <w:rPr>
                <w:rFonts w:ascii="Times New Roman" w:hAnsi="Times New Roman" w:cs="Times New Roman"/>
                <w:sz w:val="20"/>
                <w:szCs w:val="20"/>
              </w:rPr>
            </w:pPr>
          </w:p>
        </w:tc>
        <w:tc>
          <w:tcPr>
            <w:tcW w:w="1016" w:type="dxa"/>
            <w:tcBorders>
              <w:top w:val="single" w:sz="6" w:space="0" w:color="auto"/>
              <w:left w:val="single" w:sz="6" w:space="0" w:color="auto"/>
              <w:bottom w:val="single" w:sz="6" w:space="0" w:color="auto"/>
              <w:right w:val="single" w:sz="6" w:space="0" w:color="auto"/>
            </w:tcBorders>
          </w:tcPr>
          <w:p w14:paraId="4BF0224C" w14:textId="77777777" w:rsidR="009B6B42" w:rsidRDefault="009B6B42" w:rsidP="00941A41">
            <w:pPr>
              <w:spacing w:after="0"/>
              <w:jc w:val="right"/>
              <w:rPr>
                <w:rFonts w:ascii="Times New Roman" w:hAnsi="Times New Roman" w:cs="Times New Roman"/>
                <w:sz w:val="20"/>
                <w:szCs w:val="20"/>
              </w:rPr>
            </w:pPr>
          </w:p>
        </w:tc>
        <w:tc>
          <w:tcPr>
            <w:tcW w:w="1116" w:type="dxa"/>
            <w:tcBorders>
              <w:top w:val="single" w:sz="6" w:space="0" w:color="auto"/>
              <w:left w:val="single" w:sz="6" w:space="0" w:color="auto"/>
              <w:bottom w:val="single" w:sz="6" w:space="0" w:color="auto"/>
              <w:right w:val="double" w:sz="4" w:space="0" w:color="auto"/>
            </w:tcBorders>
          </w:tcPr>
          <w:p w14:paraId="5660A815" w14:textId="77777777" w:rsidR="009B6B42" w:rsidRDefault="009B6B42" w:rsidP="008962F8">
            <w:pPr>
              <w:spacing w:after="0"/>
              <w:jc w:val="right"/>
              <w:rPr>
                <w:rFonts w:ascii="Times New Roman" w:hAnsi="Times New Roman" w:cs="Times New Roman"/>
                <w:sz w:val="20"/>
                <w:szCs w:val="20"/>
              </w:rPr>
            </w:pPr>
          </w:p>
        </w:tc>
        <w:tc>
          <w:tcPr>
            <w:tcW w:w="1116" w:type="dxa"/>
            <w:tcBorders>
              <w:top w:val="single" w:sz="6" w:space="0" w:color="auto"/>
              <w:left w:val="double" w:sz="4" w:space="0" w:color="auto"/>
              <w:bottom w:val="single" w:sz="6" w:space="0" w:color="auto"/>
              <w:right w:val="double" w:sz="4" w:space="0" w:color="auto"/>
            </w:tcBorders>
          </w:tcPr>
          <w:p w14:paraId="551D0BBD" w14:textId="77777777" w:rsidR="009B6B42" w:rsidRDefault="009B6B42" w:rsidP="000452FF">
            <w:pPr>
              <w:spacing w:after="0"/>
              <w:jc w:val="right"/>
              <w:rPr>
                <w:rFonts w:ascii="Times New Roman" w:hAnsi="Times New Roman" w:cs="Times New Roman"/>
                <w:b/>
                <w:sz w:val="20"/>
                <w:szCs w:val="20"/>
              </w:rPr>
            </w:pPr>
          </w:p>
        </w:tc>
        <w:tc>
          <w:tcPr>
            <w:tcW w:w="1162" w:type="dxa"/>
            <w:tcBorders>
              <w:top w:val="single" w:sz="6" w:space="0" w:color="auto"/>
              <w:left w:val="double" w:sz="4" w:space="0" w:color="auto"/>
              <w:bottom w:val="single" w:sz="6" w:space="0" w:color="auto"/>
              <w:right w:val="single" w:sz="6" w:space="0" w:color="auto"/>
            </w:tcBorders>
          </w:tcPr>
          <w:p w14:paraId="565830E5" w14:textId="77777777" w:rsidR="009B6B42" w:rsidRDefault="009B6B42" w:rsidP="00941A41">
            <w:pPr>
              <w:spacing w:after="0"/>
              <w:jc w:val="center"/>
              <w:rPr>
                <w:rFonts w:ascii="Times New Roman" w:hAnsi="Times New Roman" w:cs="Times New Roman"/>
                <w:sz w:val="20"/>
                <w:szCs w:val="20"/>
              </w:rPr>
            </w:pPr>
          </w:p>
        </w:tc>
        <w:tc>
          <w:tcPr>
            <w:tcW w:w="1038" w:type="dxa"/>
            <w:tcBorders>
              <w:top w:val="single" w:sz="6" w:space="0" w:color="auto"/>
              <w:left w:val="single" w:sz="6" w:space="0" w:color="auto"/>
              <w:bottom w:val="single" w:sz="6" w:space="0" w:color="auto"/>
              <w:right w:val="single" w:sz="6" w:space="0" w:color="auto"/>
            </w:tcBorders>
          </w:tcPr>
          <w:p w14:paraId="105895DD" w14:textId="77777777" w:rsidR="009B6B42" w:rsidRDefault="009B6B42" w:rsidP="00941A41">
            <w:pPr>
              <w:spacing w:after="0"/>
              <w:jc w:val="right"/>
              <w:rPr>
                <w:rFonts w:ascii="Times New Roman" w:hAnsi="Times New Roman" w:cs="Times New Roman"/>
                <w:sz w:val="20"/>
                <w:szCs w:val="20"/>
              </w:rPr>
            </w:pPr>
          </w:p>
        </w:tc>
        <w:tc>
          <w:tcPr>
            <w:tcW w:w="1163" w:type="dxa"/>
            <w:tcBorders>
              <w:top w:val="single" w:sz="6" w:space="0" w:color="auto"/>
              <w:left w:val="single" w:sz="6" w:space="0" w:color="auto"/>
              <w:bottom w:val="single" w:sz="6" w:space="0" w:color="auto"/>
              <w:right w:val="double" w:sz="4" w:space="0" w:color="auto"/>
            </w:tcBorders>
          </w:tcPr>
          <w:p w14:paraId="3179FC81" w14:textId="77777777" w:rsidR="009B6B42" w:rsidRPr="006A0234" w:rsidRDefault="009B6B42" w:rsidP="008962F8">
            <w:pPr>
              <w:spacing w:after="0"/>
              <w:jc w:val="right"/>
              <w:rPr>
                <w:rFonts w:ascii="Times New Roman" w:hAnsi="Times New Roman" w:cs="Times New Roman"/>
                <w:sz w:val="20"/>
                <w:szCs w:val="20"/>
              </w:rPr>
            </w:pPr>
          </w:p>
        </w:tc>
        <w:tc>
          <w:tcPr>
            <w:tcW w:w="1143" w:type="dxa"/>
            <w:tcBorders>
              <w:top w:val="single" w:sz="6" w:space="0" w:color="auto"/>
              <w:left w:val="single" w:sz="6" w:space="0" w:color="auto"/>
              <w:bottom w:val="single" w:sz="6" w:space="0" w:color="auto"/>
              <w:right w:val="double" w:sz="4" w:space="0" w:color="auto"/>
            </w:tcBorders>
          </w:tcPr>
          <w:p w14:paraId="2FD8A3B3" w14:textId="77777777" w:rsidR="009B6B42" w:rsidRDefault="009B6B42" w:rsidP="00941A41">
            <w:pPr>
              <w:spacing w:after="0"/>
              <w:jc w:val="right"/>
              <w:rPr>
                <w:rFonts w:ascii="Times New Roman" w:hAnsi="Times New Roman" w:cs="Times New Roman"/>
                <w:b/>
                <w:sz w:val="20"/>
                <w:szCs w:val="20"/>
              </w:rPr>
            </w:pPr>
          </w:p>
        </w:tc>
      </w:tr>
      <w:tr w:rsidR="009B6B42" w14:paraId="27E8C1FB" w14:textId="77777777" w:rsidTr="009B6B42">
        <w:tc>
          <w:tcPr>
            <w:tcW w:w="4347" w:type="dxa"/>
            <w:tcBorders>
              <w:top w:val="single" w:sz="6" w:space="0" w:color="auto"/>
              <w:left w:val="double" w:sz="4" w:space="0" w:color="auto"/>
              <w:bottom w:val="single" w:sz="6" w:space="0" w:color="auto"/>
              <w:right w:val="double" w:sz="4" w:space="0" w:color="auto"/>
            </w:tcBorders>
          </w:tcPr>
          <w:p w14:paraId="7AB10BC4" w14:textId="77777777" w:rsidR="009B6B42" w:rsidRPr="00806AF8" w:rsidRDefault="009B6B42" w:rsidP="00941A41">
            <w:pPr>
              <w:spacing w:after="0"/>
              <w:rPr>
                <w:rFonts w:ascii="Times New Roman" w:hAnsi="Times New Roman" w:cs="Times New Roman"/>
                <w:sz w:val="20"/>
                <w:szCs w:val="20"/>
              </w:rPr>
            </w:pPr>
            <w:r w:rsidRPr="00806AF8">
              <w:rPr>
                <w:rFonts w:ascii="Times New Roman" w:hAnsi="Times New Roman" w:cs="Times New Roman"/>
                <w:sz w:val="20"/>
                <w:szCs w:val="20"/>
              </w:rPr>
              <w:t>Estimated Cost of shipping uroliths for analysis</w:t>
            </w:r>
          </w:p>
        </w:tc>
        <w:tc>
          <w:tcPr>
            <w:tcW w:w="1075" w:type="dxa"/>
            <w:tcBorders>
              <w:top w:val="single" w:sz="6" w:space="0" w:color="auto"/>
              <w:left w:val="double" w:sz="4" w:space="0" w:color="auto"/>
              <w:bottom w:val="single" w:sz="6" w:space="0" w:color="auto"/>
              <w:right w:val="single" w:sz="6" w:space="0" w:color="auto"/>
            </w:tcBorders>
          </w:tcPr>
          <w:p w14:paraId="751D52DD" w14:textId="77777777" w:rsidR="009B6B42" w:rsidRDefault="009B6B42" w:rsidP="006A0234">
            <w:pPr>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1016" w:type="dxa"/>
            <w:tcBorders>
              <w:top w:val="single" w:sz="6" w:space="0" w:color="auto"/>
              <w:left w:val="single" w:sz="6" w:space="0" w:color="auto"/>
              <w:bottom w:val="single" w:sz="6" w:space="0" w:color="auto"/>
              <w:right w:val="single" w:sz="6" w:space="0" w:color="auto"/>
            </w:tcBorders>
          </w:tcPr>
          <w:p w14:paraId="0100E173" w14:textId="77777777" w:rsidR="009B6B42" w:rsidRDefault="009B6B42" w:rsidP="00941A41">
            <w:pPr>
              <w:spacing w:after="0"/>
              <w:jc w:val="right"/>
              <w:rPr>
                <w:rFonts w:ascii="Times New Roman" w:hAnsi="Times New Roman" w:cs="Times New Roman"/>
                <w:sz w:val="20"/>
                <w:szCs w:val="20"/>
              </w:rPr>
            </w:pPr>
            <w:r>
              <w:rPr>
                <w:rFonts w:ascii="Times New Roman" w:hAnsi="Times New Roman" w:cs="Times New Roman"/>
                <w:sz w:val="20"/>
                <w:szCs w:val="20"/>
              </w:rPr>
              <w:t>$25.00</w:t>
            </w:r>
          </w:p>
        </w:tc>
        <w:tc>
          <w:tcPr>
            <w:tcW w:w="1116" w:type="dxa"/>
            <w:tcBorders>
              <w:top w:val="single" w:sz="6" w:space="0" w:color="auto"/>
              <w:left w:val="single" w:sz="6" w:space="0" w:color="auto"/>
              <w:bottom w:val="single" w:sz="6" w:space="0" w:color="auto"/>
              <w:right w:val="double" w:sz="4" w:space="0" w:color="auto"/>
            </w:tcBorders>
          </w:tcPr>
          <w:p w14:paraId="19D5A151" w14:textId="77777777" w:rsidR="009B6B42" w:rsidRPr="006A0234" w:rsidRDefault="009B6B42" w:rsidP="008962F8">
            <w:pPr>
              <w:spacing w:after="0"/>
              <w:jc w:val="right"/>
              <w:rPr>
                <w:rFonts w:ascii="Times New Roman" w:hAnsi="Times New Roman" w:cs="Times New Roman"/>
                <w:sz w:val="20"/>
                <w:szCs w:val="20"/>
              </w:rPr>
            </w:pPr>
            <w:r>
              <w:rPr>
                <w:rFonts w:ascii="Times New Roman" w:hAnsi="Times New Roman" w:cs="Times New Roman"/>
                <w:sz w:val="20"/>
                <w:szCs w:val="20"/>
              </w:rPr>
              <w:t>$375.00</w:t>
            </w:r>
          </w:p>
        </w:tc>
        <w:tc>
          <w:tcPr>
            <w:tcW w:w="1116" w:type="dxa"/>
            <w:tcBorders>
              <w:top w:val="single" w:sz="6" w:space="0" w:color="auto"/>
              <w:left w:val="double" w:sz="4" w:space="0" w:color="auto"/>
              <w:bottom w:val="single" w:sz="6" w:space="0" w:color="auto"/>
              <w:right w:val="double" w:sz="4" w:space="0" w:color="auto"/>
            </w:tcBorders>
          </w:tcPr>
          <w:p w14:paraId="339A5E2B" w14:textId="77777777" w:rsidR="009B6B42" w:rsidRPr="006A0234" w:rsidRDefault="009B6B42" w:rsidP="000452FF">
            <w:pPr>
              <w:spacing w:after="0"/>
              <w:jc w:val="right"/>
              <w:rPr>
                <w:rFonts w:ascii="Times New Roman" w:hAnsi="Times New Roman" w:cs="Times New Roman"/>
                <w:b/>
                <w:sz w:val="20"/>
                <w:szCs w:val="20"/>
              </w:rPr>
            </w:pPr>
            <w:r>
              <w:rPr>
                <w:rFonts w:ascii="Times New Roman" w:hAnsi="Times New Roman" w:cs="Times New Roman"/>
                <w:b/>
                <w:sz w:val="20"/>
                <w:szCs w:val="20"/>
              </w:rPr>
              <w:t>$375.00</w:t>
            </w:r>
          </w:p>
        </w:tc>
        <w:tc>
          <w:tcPr>
            <w:tcW w:w="1162" w:type="dxa"/>
            <w:tcBorders>
              <w:top w:val="single" w:sz="6" w:space="0" w:color="auto"/>
              <w:left w:val="double" w:sz="4" w:space="0" w:color="auto"/>
              <w:bottom w:val="single" w:sz="6" w:space="0" w:color="auto"/>
              <w:right w:val="single" w:sz="6" w:space="0" w:color="auto"/>
            </w:tcBorders>
          </w:tcPr>
          <w:p w14:paraId="441B7060" w14:textId="77777777" w:rsidR="009B6B42" w:rsidRDefault="009B6B42" w:rsidP="0096798C">
            <w:pPr>
              <w:spacing w:after="0"/>
              <w:jc w:val="center"/>
              <w:rPr>
                <w:rFonts w:ascii="Times New Roman" w:hAnsi="Times New Roman" w:cs="Times New Roman"/>
                <w:sz w:val="20"/>
                <w:szCs w:val="20"/>
              </w:rPr>
            </w:pPr>
            <w:r>
              <w:rPr>
                <w:rFonts w:ascii="Times New Roman" w:hAnsi="Times New Roman" w:cs="Times New Roman"/>
                <w:sz w:val="20"/>
                <w:szCs w:val="20"/>
              </w:rPr>
              <w:t>30*</w:t>
            </w:r>
          </w:p>
        </w:tc>
        <w:tc>
          <w:tcPr>
            <w:tcW w:w="1038" w:type="dxa"/>
            <w:tcBorders>
              <w:top w:val="single" w:sz="6" w:space="0" w:color="auto"/>
              <w:left w:val="single" w:sz="6" w:space="0" w:color="auto"/>
              <w:bottom w:val="single" w:sz="6" w:space="0" w:color="auto"/>
              <w:right w:val="single" w:sz="6" w:space="0" w:color="auto"/>
            </w:tcBorders>
          </w:tcPr>
          <w:p w14:paraId="6BB2DF69" w14:textId="77777777" w:rsidR="009B6B42" w:rsidRDefault="009B6B42" w:rsidP="00941A41">
            <w:pPr>
              <w:spacing w:after="0"/>
              <w:jc w:val="right"/>
              <w:rPr>
                <w:rFonts w:ascii="Times New Roman" w:hAnsi="Times New Roman" w:cs="Times New Roman"/>
                <w:sz w:val="20"/>
                <w:szCs w:val="20"/>
              </w:rPr>
            </w:pPr>
            <w:r>
              <w:rPr>
                <w:rFonts w:ascii="Times New Roman" w:hAnsi="Times New Roman" w:cs="Times New Roman"/>
                <w:sz w:val="20"/>
                <w:szCs w:val="20"/>
              </w:rPr>
              <w:t>$25.00</w:t>
            </w:r>
          </w:p>
        </w:tc>
        <w:tc>
          <w:tcPr>
            <w:tcW w:w="1163" w:type="dxa"/>
            <w:tcBorders>
              <w:top w:val="single" w:sz="6" w:space="0" w:color="auto"/>
              <w:left w:val="single" w:sz="6" w:space="0" w:color="auto"/>
              <w:bottom w:val="single" w:sz="6" w:space="0" w:color="auto"/>
              <w:right w:val="double" w:sz="4" w:space="0" w:color="auto"/>
            </w:tcBorders>
          </w:tcPr>
          <w:p w14:paraId="4831C112" w14:textId="77777777" w:rsidR="009B6B42" w:rsidRPr="006A0234" w:rsidRDefault="009B6B42" w:rsidP="008962F8">
            <w:pPr>
              <w:spacing w:after="0"/>
              <w:jc w:val="right"/>
              <w:rPr>
                <w:rFonts w:ascii="Times New Roman" w:hAnsi="Times New Roman" w:cs="Times New Roman"/>
                <w:sz w:val="20"/>
                <w:szCs w:val="20"/>
              </w:rPr>
            </w:pPr>
            <w:r w:rsidRPr="006A0234">
              <w:rPr>
                <w:rFonts w:ascii="Times New Roman" w:hAnsi="Times New Roman" w:cs="Times New Roman"/>
                <w:sz w:val="20"/>
                <w:szCs w:val="20"/>
              </w:rPr>
              <w:t>$</w:t>
            </w:r>
            <w:r>
              <w:rPr>
                <w:rFonts w:ascii="Times New Roman" w:hAnsi="Times New Roman" w:cs="Times New Roman"/>
                <w:sz w:val="20"/>
                <w:szCs w:val="20"/>
              </w:rPr>
              <w:t>750.</w:t>
            </w:r>
            <w:r w:rsidRPr="006A0234">
              <w:rPr>
                <w:rFonts w:ascii="Times New Roman" w:hAnsi="Times New Roman" w:cs="Times New Roman"/>
                <w:sz w:val="20"/>
                <w:szCs w:val="20"/>
              </w:rPr>
              <w:t>00</w:t>
            </w:r>
          </w:p>
        </w:tc>
        <w:tc>
          <w:tcPr>
            <w:tcW w:w="1143" w:type="dxa"/>
            <w:tcBorders>
              <w:top w:val="single" w:sz="6" w:space="0" w:color="auto"/>
              <w:left w:val="single" w:sz="6" w:space="0" w:color="auto"/>
              <w:bottom w:val="single" w:sz="6" w:space="0" w:color="auto"/>
              <w:right w:val="double" w:sz="4" w:space="0" w:color="auto"/>
            </w:tcBorders>
          </w:tcPr>
          <w:p w14:paraId="37C8A82E" w14:textId="77777777" w:rsidR="009B6B42" w:rsidRPr="006A0234" w:rsidRDefault="009B6B42" w:rsidP="00941A41">
            <w:pPr>
              <w:spacing w:after="0"/>
              <w:jc w:val="right"/>
              <w:rPr>
                <w:rFonts w:ascii="Times New Roman" w:hAnsi="Times New Roman" w:cs="Times New Roman"/>
                <w:b/>
                <w:sz w:val="20"/>
                <w:szCs w:val="20"/>
              </w:rPr>
            </w:pPr>
            <w:r>
              <w:rPr>
                <w:rFonts w:ascii="Times New Roman" w:hAnsi="Times New Roman" w:cs="Times New Roman"/>
                <w:b/>
                <w:sz w:val="20"/>
                <w:szCs w:val="20"/>
              </w:rPr>
              <w:t>$750.00</w:t>
            </w:r>
          </w:p>
        </w:tc>
      </w:tr>
      <w:tr w:rsidR="009B6B42" w14:paraId="17DCE21C" w14:textId="77777777" w:rsidTr="009B6B42">
        <w:tc>
          <w:tcPr>
            <w:tcW w:w="4347" w:type="dxa"/>
            <w:tcBorders>
              <w:top w:val="single" w:sz="6" w:space="0" w:color="auto"/>
              <w:left w:val="double" w:sz="4" w:space="0" w:color="auto"/>
              <w:bottom w:val="single" w:sz="6" w:space="0" w:color="auto"/>
              <w:right w:val="double" w:sz="4" w:space="0" w:color="auto"/>
            </w:tcBorders>
          </w:tcPr>
          <w:p w14:paraId="276688C9" w14:textId="77777777" w:rsidR="009B6B42" w:rsidRPr="005E741E" w:rsidRDefault="009B6B42" w:rsidP="00941A41">
            <w:pPr>
              <w:spacing w:after="0"/>
              <w:rPr>
                <w:rFonts w:ascii="Times New Roman" w:hAnsi="Times New Roman" w:cs="Times New Roman"/>
                <w:sz w:val="20"/>
                <w:szCs w:val="20"/>
              </w:rPr>
            </w:pPr>
            <w:r w:rsidRPr="005E741E">
              <w:rPr>
                <w:rFonts w:ascii="Times New Roman" w:hAnsi="Times New Roman" w:cs="Times New Roman"/>
                <w:sz w:val="20"/>
                <w:szCs w:val="20"/>
              </w:rPr>
              <w:t>Estimated cost of necropsies, shipping &amp; lab</w:t>
            </w:r>
          </w:p>
        </w:tc>
        <w:tc>
          <w:tcPr>
            <w:tcW w:w="1075" w:type="dxa"/>
            <w:tcBorders>
              <w:top w:val="single" w:sz="6" w:space="0" w:color="auto"/>
              <w:left w:val="double" w:sz="4" w:space="0" w:color="auto"/>
              <w:bottom w:val="single" w:sz="6" w:space="0" w:color="auto"/>
              <w:right w:val="single" w:sz="6" w:space="0" w:color="auto"/>
            </w:tcBorders>
          </w:tcPr>
          <w:p w14:paraId="239A4F41" w14:textId="77777777" w:rsidR="009B6B42" w:rsidRDefault="009B6B42" w:rsidP="00941A41">
            <w:pPr>
              <w:spacing w:after="0"/>
              <w:jc w:val="center"/>
              <w:rPr>
                <w:rFonts w:ascii="Times New Roman" w:hAnsi="Times New Roman" w:cs="Times New Roman"/>
                <w:sz w:val="20"/>
                <w:szCs w:val="20"/>
              </w:rPr>
            </w:pPr>
            <w:r>
              <w:rPr>
                <w:rFonts w:ascii="Times New Roman" w:hAnsi="Times New Roman" w:cs="Times New Roman"/>
                <w:sz w:val="20"/>
                <w:szCs w:val="20"/>
              </w:rPr>
              <w:t>45**</w:t>
            </w:r>
          </w:p>
        </w:tc>
        <w:tc>
          <w:tcPr>
            <w:tcW w:w="1016" w:type="dxa"/>
            <w:tcBorders>
              <w:top w:val="single" w:sz="6" w:space="0" w:color="auto"/>
              <w:left w:val="single" w:sz="6" w:space="0" w:color="auto"/>
              <w:bottom w:val="single" w:sz="6" w:space="0" w:color="auto"/>
              <w:right w:val="single" w:sz="6" w:space="0" w:color="auto"/>
            </w:tcBorders>
          </w:tcPr>
          <w:p w14:paraId="71DF27FC" w14:textId="77777777" w:rsidR="009B6B42" w:rsidRDefault="009B6B42" w:rsidP="00941A41">
            <w:pPr>
              <w:spacing w:after="0"/>
              <w:jc w:val="right"/>
              <w:rPr>
                <w:rFonts w:ascii="Times New Roman" w:hAnsi="Times New Roman" w:cs="Times New Roman"/>
                <w:sz w:val="20"/>
                <w:szCs w:val="20"/>
              </w:rPr>
            </w:pPr>
            <w:r>
              <w:rPr>
                <w:rFonts w:ascii="Times New Roman" w:hAnsi="Times New Roman" w:cs="Times New Roman"/>
                <w:sz w:val="20"/>
                <w:szCs w:val="20"/>
              </w:rPr>
              <w:t>$300.00</w:t>
            </w:r>
          </w:p>
        </w:tc>
        <w:tc>
          <w:tcPr>
            <w:tcW w:w="1116" w:type="dxa"/>
            <w:tcBorders>
              <w:top w:val="single" w:sz="6" w:space="0" w:color="auto"/>
              <w:left w:val="single" w:sz="6" w:space="0" w:color="auto"/>
              <w:bottom w:val="single" w:sz="6" w:space="0" w:color="auto"/>
              <w:right w:val="double" w:sz="4" w:space="0" w:color="auto"/>
            </w:tcBorders>
          </w:tcPr>
          <w:p w14:paraId="190DD14E" w14:textId="77777777" w:rsidR="009B6B42" w:rsidRPr="006A0234" w:rsidRDefault="009B6B42" w:rsidP="008962F8">
            <w:pPr>
              <w:spacing w:after="0"/>
              <w:jc w:val="right"/>
              <w:rPr>
                <w:rFonts w:ascii="Times New Roman" w:hAnsi="Times New Roman" w:cs="Times New Roman"/>
                <w:sz w:val="20"/>
                <w:szCs w:val="20"/>
              </w:rPr>
            </w:pPr>
            <w:r w:rsidRPr="006A0234">
              <w:rPr>
                <w:rFonts w:ascii="Times New Roman" w:hAnsi="Times New Roman" w:cs="Times New Roman"/>
                <w:sz w:val="20"/>
                <w:szCs w:val="20"/>
              </w:rPr>
              <w:t>$1</w:t>
            </w:r>
            <w:r>
              <w:rPr>
                <w:rFonts w:ascii="Times New Roman" w:hAnsi="Times New Roman" w:cs="Times New Roman"/>
                <w:sz w:val="20"/>
                <w:szCs w:val="20"/>
              </w:rPr>
              <w:t>3</w:t>
            </w:r>
            <w:r w:rsidRPr="006A0234">
              <w:rPr>
                <w:rFonts w:ascii="Times New Roman" w:hAnsi="Times New Roman" w:cs="Times New Roman"/>
                <w:sz w:val="20"/>
                <w:szCs w:val="20"/>
              </w:rPr>
              <w:t>,</w:t>
            </w:r>
            <w:r>
              <w:rPr>
                <w:rFonts w:ascii="Times New Roman" w:hAnsi="Times New Roman" w:cs="Times New Roman"/>
                <w:sz w:val="20"/>
                <w:szCs w:val="20"/>
              </w:rPr>
              <w:t>5</w:t>
            </w:r>
            <w:r w:rsidRPr="006A0234">
              <w:rPr>
                <w:rFonts w:ascii="Times New Roman" w:hAnsi="Times New Roman" w:cs="Times New Roman"/>
                <w:sz w:val="20"/>
                <w:szCs w:val="20"/>
              </w:rPr>
              <w:t>00.00</w:t>
            </w:r>
          </w:p>
        </w:tc>
        <w:tc>
          <w:tcPr>
            <w:tcW w:w="1116" w:type="dxa"/>
            <w:tcBorders>
              <w:top w:val="single" w:sz="6" w:space="0" w:color="auto"/>
              <w:left w:val="double" w:sz="4" w:space="0" w:color="auto"/>
              <w:bottom w:val="single" w:sz="6" w:space="0" w:color="auto"/>
              <w:right w:val="double" w:sz="4" w:space="0" w:color="auto"/>
            </w:tcBorders>
          </w:tcPr>
          <w:p w14:paraId="42236066" w14:textId="77777777" w:rsidR="009B6B42" w:rsidRPr="006A0234" w:rsidRDefault="009B6B42" w:rsidP="008962F8">
            <w:pPr>
              <w:spacing w:after="0"/>
              <w:jc w:val="right"/>
              <w:rPr>
                <w:rFonts w:ascii="Times New Roman" w:hAnsi="Times New Roman" w:cs="Times New Roman"/>
                <w:b/>
                <w:sz w:val="20"/>
                <w:szCs w:val="20"/>
              </w:rPr>
            </w:pPr>
            <w:r>
              <w:rPr>
                <w:rFonts w:ascii="Times New Roman" w:hAnsi="Times New Roman" w:cs="Times New Roman"/>
                <w:b/>
                <w:sz w:val="20"/>
                <w:szCs w:val="20"/>
              </w:rPr>
              <w:t>$13,500.00</w:t>
            </w:r>
          </w:p>
        </w:tc>
        <w:tc>
          <w:tcPr>
            <w:tcW w:w="1162" w:type="dxa"/>
            <w:tcBorders>
              <w:top w:val="single" w:sz="6" w:space="0" w:color="auto"/>
              <w:left w:val="double" w:sz="4" w:space="0" w:color="auto"/>
              <w:bottom w:val="single" w:sz="6" w:space="0" w:color="auto"/>
              <w:right w:val="single" w:sz="6" w:space="0" w:color="auto"/>
            </w:tcBorders>
          </w:tcPr>
          <w:p w14:paraId="6235F255" w14:textId="77777777" w:rsidR="009B6B42" w:rsidRDefault="009B6B42" w:rsidP="0096798C">
            <w:pPr>
              <w:spacing w:after="0"/>
              <w:jc w:val="center"/>
              <w:rPr>
                <w:rFonts w:ascii="Times New Roman" w:hAnsi="Times New Roman" w:cs="Times New Roman"/>
                <w:sz w:val="20"/>
                <w:szCs w:val="20"/>
              </w:rPr>
            </w:pPr>
            <w:r>
              <w:rPr>
                <w:rFonts w:ascii="Times New Roman" w:hAnsi="Times New Roman" w:cs="Times New Roman"/>
                <w:sz w:val="20"/>
                <w:szCs w:val="20"/>
              </w:rPr>
              <w:t>90**</w:t>
            </w:r>
          </w:p>
        </w:tc>
        <w:tc>
          <w:tcPr>
            <w:tcW w:w="1038" w:type="dxa"/>
            <w:tcBorders>
              <w:top w:val="single" w:sz="6" w:space="0" w:color="auto"/>
              <w:left w:val="single" w:sz="6" w:space="0" w:color="auto"/>
              <w:bottom w:val="single" w:sz="6" w:space="0" w:color="auto"/>
              <w:right w:val="single" w:sz="6" w:space="0" w:color="auto"/>
            </w:tcBorders>
          </w:tcPr>
          <w:p w14:paraId="4A9E9972" w14:textId="77777777" w:rsidR="009B6B42" w:rsidRDefault="009B6B42" w:rsidP="00941A41">
            <w:pPr>
              <w:spacing w:after="0"/>
              <w:jc w:val="right"/>
              <w:rPr>
                <w:rFonts w:ascii="Times New Roman" w:hAnsi="Times New Roman" w:cs="Times New Roman"/>
                <w:sz w:val="20"/>
                <w:szCs w:val="20"/>
              </w:rPr>
            </w:pPr>
            <w:r>
              <w:rPr>
                <w:rFonts w:ascii="Times New Roman" w:hAnsi="Times New Roman" w:cs="Times New Roman"/>
                <w:sz w:val="20"/>
                <w:szCs w:val="20"/>
              </w:rPr>
              <w:t>$300.00</w:t>
            </w:r>
          </w:p>
        </w:tc>
        <w:tc>
          <w:tcPr>
            <w:tcW w:w="1163" w:type="dxa"/>
            <w:tcBorders>
              <w:top w:val="single" w:sz="6" w:space="0" w:color="auto"/>
              <w:left w:val="single" w:sz="6" w:space="0" w:color="auto"/>
              <w:bottom w:val="single" w:sz="6" w:space="0" w:color="auto"/>
              <w:right w:val="double" w:sz="4" w:space="0" w:color="auto"/>
            </w:tcBorders>
          </w:tcPr>
          <w:p w14:paraId="417179D7" w14:textId="77777777" w:rsidR="009B6B42" w:rsidRPr="006A0234" w:rsidRDefault="009B6B42" w:rsidP="00506EA6">
            <w:pPr>
              <w:spacing w:after="0"/>
              <w:jc w:val="right"/>
              <w:rPr>
                <w:rFonts w:ascii="Times New Roman" w:hAnsi="Times New Roman" w:cs="Times New Roman"/>
                <w:sz w:val="20"/>
                <w:szCs w:val="20"/>
              </w:rPr>
            </w:pPr>
            <w:r w:rsidRPr="006A0234">
              <w:rPr>
                <w:rFonts w:ascii="Times New Roman" w:hAnsi="Times New Roman" w:cs="Times New Roman"/>
                <w:sz w:val="20"/>
                <w:szCs w:val="20"/>
              </w:rPr>
              <w:t>$</w:t>
            </w:r>
            <w:r>
              <w:rPr>
                <w:rFonts w:ascii="Times New Roman" w:hAnsi="Times New Roman" w:cs="Times New Roman"/>
                <w:sz w:val="20"/>
                <w:szCs w:val="20"/>
              </w:rPr>
              <w:t>27,0</w:t>
            </w:r>
            <w:r w:rsidRPr="006A0234">
              <w:rPr>
                <w:rFonts w:ascii="Times New Roman" w:hAnsi="Times New Roman" w:cs="Times New Roman"/>
                <w:sz w:val="20"/>
                <w:szCs w:val="20"/>
              </w:rPr>
              <w:t>00.00</w:t>
            </w:r>
          </w:p>
        </w:tc>
        <w:tc>
          <w:tcPr>
            <w:tcW w:w="1143" w:type="dxa"/>
            <w:tcBorders>
              <w:top w:val="single" w:sz="6" w:space="0" w:color="auto"/>
              <w:left w:val="single" w:sz="6" w:space="0" w:color="auto"/>
              <w:bottom w:val="single" w:sz="6" w:space="0" w:color="auto"/>
              <w:right w:val="double" w:sz="4" w:space="0" w:color="auto"/>
            </w:tcBorders>
          </w:tcPr>
          <w:p w14:paraId="395BF543" w14:textId="77777777" w:rsidR="009B6B42" w:rsidRPr="006A0234" w:rsidRDefault="009B6B42" w:rsidP="00941A41">
            <w:pPr>
              <w:spacing w:after="0"/>
              <w:jc w:val="right"/>
              <w:rPr>
                <w:rFonts w:ascii="Times New Roman" w:hAnsi="Times New Roman" w:cs="Times New Roman"/>
                <w:b/>
                <w:sz w:val="20"/>
                <w:szCs w:val="20"/>
              </w:rPr>
            </w:pPr>
            <w:r>
              <w:rPr>
                <w:rFonts w:ascii="Times New Roman" w:hAnsi="Times New Roman" w:cs="Times New Roman"/>
                <w:b/>
                <w:sz w:val="20"/>
                <w:szCs w:val="20"/>
              </w:rPr>
              <w:t>$27,000.00</w:t>
            </w:r>
          </w:p>
        </w:tc>
      </w:tr>
      <w:tr w:rsidR="009B6B42" w14:paraId="087F8AD3" w14:textId="77777777" w:rsidTr="009B6B42">
        <w:tc>
          <w:tcPr>
            <w:tcW w:w="4347" w:type="dxa"/>
            <w:tcBorders>
              <w:top w:val="single" w:sz="6" w:space="0" w:color="auto"/>
              <w:left w:val="double" w:sz="4" w:space="0" w:color="auto"/>
              <w:bottom w:val="single" w:sz="6" w:space="0" w:color="auto"/>
              <w:right w:val="double" w:sz="4" w:space="0" w:color="auto"/>
            </w:tcBorders>
          </w:tcPr>
          <w:p w14:paraId="0FDB0CB0" w14:textId="77777777" w:rsidR="009B6B42" w:rsidRPr="00806AF8" w:rsidRDefault="009B6B42" w:rsidP="005E741E">
            <w:pPr>
              <w:spacing w:after="0"/>
              <w:rPr>
                <w:rFonts w:ascii="Times New Roman" w:hAnsi="Times New Roman" w:cs="Times New Roman"/>
                <w:sz w:val="20"/>
                <w:szCs w:val="20"/>
              </w:rPr>
            </w:pPr>
            <w:r w:rsidRPr="00806AF8">
              <w:rPr>
                <w:rFonts w:ascii="Times New Roman" w:hAnsi="Times New Roman" w:cs="Times New Roman"/>
                <w:sz w:val="20"/>
                <w:szCs w:val="20"/>
              </w:rPr>
              <w:t>Estimated cost of liver/mineral panel lab work</w:t>
            </w:r>
          </w:p>
        </w:tc>
        <w:tc>
          <w:tcPr>
            <w:tcW w:w="1075" w:type="dxa"/>
            <w:tcBorders>
              <w:top w:val="single" w:sz="6" w:space="0" w:color="auto"/>
              <w:left w:val="double" w:sz="4" w:space="0" w:color="auto"/>
              <w:bottom w:val="single" w:sz="6" w:space="0" w:color="auto"/>
              <w:right w:val="single" w:sz="6" w:space="0" w:color="auto"/>
            </w:tcBorders>
          </w:tcPr>
          <w:p w14:paraId="61827E79" w14:textId="77777777" w:rsidR="009B6B42" w:rsidRDefault="009B6B42" w:rsidP="00941A41">
            <w:pPr>
              <w:spacing w:after="0"/>
              <w:jc w:val="center"/>
              <w:rPr>
                <w:rFonts w:ascii="Times New Roman" w:hAnsi="Times New Roman" w:cs="Times New Roman"/>
                <w:sz w:val="20"/>
                <w:szCs w:val="20"/>
              </w:rPr>
            </w:pPr>
            <w:r>
              <w:rPr>
                <w:rFonts w:ascii="Times New Roman" w:hAnsi="Times New Roman" w:cs="Times New Roman"/>
                <w:sz w:val="20"/>
                <w:szCs w:val="20"/>
              </w:rPr>
              <w:t>45**</w:t>
            </w:r>
          </w:p>
        </w:tc>
        <w:tc>
          <w:tcPr>
            <w:tcW w:w="1016" w:type="dxa"/>
            <w:tcBorders>
              <w:top w:val="single" w:sz="6" w:space="0" w:color="auto"/>
              <w:left w:val="single" w:sz="6" w:space="0" w:color="auto"/>
              <w:bottom w:val="single" w:sz="6" w:space="0" w:color="auto"/>
              <w:right w:val="single" w:sz="6" w:space="0" w:color="auto"/>
            </w:tcBorders>
          </w:tcPr>
          <w:p w14:paraId="663ACD2F" w14:textId="77777777" w:rsidR="009B6B42" w:rsidRDefault="009B6B42" w:rsidP="00941A41">
            <w:pPr>
              <w:spacing w:after="0"/>
              <w:jc w:val="right"/>
              <w:rPr>
                <w:rFonts w:ascii="Times New Roman" w:hAnsi="Times New Roman" w:cs="Times New Roman"/>
                <w:sz w:val="20"/>
                <w:szCs w:val="20"/>
              </w:rPr>
            </w:pPr>
            <w:r>
              <w:rPr>
                <w:rFonts w:ascii="Times New Roman" w:hAnsi="Times New Roman" w:cs="Times New Roman"/>
                <w:sz w:val="20"/>
                <w:szCs w:val="20"/>
              </w:rPr>
              <w:t>$100.00</w:t>
            </w:r>
          </w:p>
        </w:tc>
        <w:tc>
          <w:tcPr>
            <w:tcW w:w="1116" w:type="dxa"/>
            <w:tcBorders>
              <w:top w:val="single" w:sz="6" w:space="0" w:color="auto"/>
              <w:left w:val="single" w:sz="6" w:space="0" w:color="auto"/>
              <w:bottom w:val="single" w:sz="6" w:space="0" w:color="auto"/>
              <w:right w:val="double" w:sz="4" w:space="0" w:color="auto"/>
            </w:tcBorders>
          </w:tcPr>
          <w:p w14:paraId="78DE6D1F" w14:textId="77777777" w:rsidR="009B6B42" w:rsidRPr="006A0234" w:rsidRDefault="009B6B42" w:rsidP="008962F8">
            <w:pPr>
              <w:spacing w:after="0"/>
              <w:jc w:val="right"/>
              <w:rPr>
                <w:rFonts w:ascii="Times New Roman" w:hAnsi="Times New Roman" w:cs="Times New Roman"/>
                <w:sz w:val="20"/>
                <w:szCs w:val="20"/>
              </w:rPr>
            </w:pPr>
            <w:r>
              <w:rPr>
                <w:rFonts w:ascii="Times New Roman" w:hAnsi="Times New Roman" w:cs="Times New Roman"/>
                <w:sz w:val="20"/>
                <w:szCs w:val="20"/>
              </w:rPr>
              <w:t>$4,500.00</w:t>
            </w:r>
          </w:p>
        </w:tc>
        <w:tc>
          <w:tcPr>
            <w:tcW w:w="1116" w:type="dxa"/>
            <w:tcBorders>
              <w:top w:val="single" w:sz="6" w:space="0" w:color="auto"/>
              <w:left w:val="double" w:sz="4" w:space="0" w:color="auto"/>
              <w:bottom w:val="single" w:sz="6" w:space="0" w:color="auto"/>
              <w:right w:val="double" w:sz="4" w:space="0" w:color="auto"/>
            </w:tcBorders>
          </w:tcPr>
          <w:p w14:paraId="080D316E" w14:textId="77777777" w:rsidR="009B6B42" w:rsidRPr="006A0234" w:rsidRDefault="009B6B42" w:rsidP="008962F8">
            <w:pPr>
              <w:spacing w:after="0"/>
              <w:jc w:val="right"/>
              <w:rPr>
                <w:rFonts w:ascii="Times New Roman" w:hAnsi="Times New Roman" w:cs="Times New Roman"/>
                <w:b/>
                <w:sz w:val="20"/>
                <w:szCs w:val="20"/>
              </w:rPr>
            </w:pPr>
            <w:r>
              <w:rPr>
                <w:rFonts w:ascii="Times New Roman" w:hAnsi="Times New Roman" w:cs="Times New Roman"/>
                <w:b/>
                <w:sz w:val="20"/>
                <w:szCs w:val="20"/>
              </w:rPr>
              <w:t>$4,500.00</w:t>
            </w:r>
          </w:p>
        </w:tc>
        <w:tc>
          <w:tcPr>
            <w:tcW w:w="1162" w:type="dxa"/>
            <w:tcBorders>
              <w:top w:val="single" w:sz="6" w:space="0" w:color="auto"/>
              <w:left w:val="double" w:sz="4" w:space="0" w:color="auto"/>
              <w:bottom w:val="single" w:sz="6" w:space="0" w:color="auto"/>
              <w:right w:val="single" w:sz="6" w:space="0" w:color="auto"/>
            </w:tcBorders>
          </w:tcPr>
          <w:p w14:paraId="7D2E037A" w14:textId="77777777" w:rsidR="009B6B42" w:rsidRDefault="009B6B42" w:rsidP="0096798C">
            <w:pPr>
              <w:spacing w:after="0"/>
              <w:jc w:val="center"/>
              <w:rPr>
                <w:rFonts w:ascii="Times New Roman" w:hAnsi="Times New Roman" w:cs="Times New Roman"/>
                <w:sz w:val="20"/>
                <w:szCs w:val="20"/>
              </w:rPr>
            </w:pPr>
            <w:r>
              <w:rPr>
                <w:rFonts w:ascii="Times New Roman" w:hAnsi="Times New Roman" w:cs="Times New Roman"/>
                <w:sz w:val="20"/>
                <w:szCs w:val="20"/>
              </w:rPr>
              <w:t>90**</w:t>
            </w:r>
          </w:p>
        </w:tc>
        <w:tc>
          <w:tcPr>
            <w:tcW w:w="1038" w:type="dxa"/>
            <w:tcBorders>
              <w:top w:val="single" w:sz="6" w:space="0" w:color="auto"/>
              <w:left w:val="single" w:sz="6" w:space="0" w:color="auto"/>
              <w:bottom w:val="single" w:sz="6" w:space="0" w:color="auto"/>
              <w:right w:val="single" w:sz="6" w:space="0" w:color="auto"/>
            </w:tcBorders>
          </w:tcPr>
          <w:p w14:paraId="69485A33" w14:textId="77777777" w:rsidR="009B6B42" w:rsidRDefault="009B6B42" w:rsidP="00941A41">
            <w:pPr>
              <w:spacing w:after="0"/>
              <w:jc w:val="right"/>
              <w:rPr>
                <w:rFonts w:ascii="Times New Roman" w:hAnsi="Times New Roman" w:cs="Times New Roman"/>
                <w:sz w:val="20"/>
                <w:szCs w:val="20"/>
              </w:rPr>
            </w:pPr>
            <w:r>
              <w:rPr>
                <w:rFonts w:ascii="Times New Roman" w:hAnsi="Times New Roman" w:cs="Times New Roman"/>
                <w:sz w:val="20"/>
                <w:szCs w:val="20"/>
              </w:rPr>
              <w:t>$100.00</w:t>
            </w:r>
          </w:p>
        </w:tc>
        <w:tc>
          <w:tcPr>
            <w:tcW w:w="1163" w:type="dxa"/>
            <w:tcBorders>
              <w:top w:val="single" w:sz="6" w:space="0" w:color="auto"/>
              <w:left w:val="single" w:sz="6" w:space="0" w:color="auto"/>
              <w:bottom w:val="single" w:sz="6" w:space="0" w:color="auto"/>
              <w:right w:val="double" w:sz="4" w:space="0" w:color="auto"/>
            </w:tcBorders>
          </w:tcPr>
          <w:p w14:paraId="17B95289" w14:textId="77777777" w:rsidR="009B6B42" w:rsidRPr="006A0234" w:rsidRDefault="009B6B42" w:rsidP="00941A41">
            <w:pPr>
              <w:spacing w:after="0"/>
              <w:jc w:val="right"/>
              <w:rPr>
                <w:rFonts w:ascii="Times New Roman" w:hAnsi="Times New Roman" w:cs="Times New Roman"/>
                <w:sz w:val="20"/>
                <w:szCs w:val="20"/>
              </w:rPr>
            </w:pPr>
            <w:r>
              <w:rPr>
                <w:rFonts w:ascii="Times New Roman" w:hAnsi="Times New Roman" w:cs="Times New Roman"/>
                <w:sz w:val="20"/>
                <w:szCs w:val="20"/>
              </w:rPr>
              <w:t>$9,000.00</w:t>
            </w:r>
          </w:p>
        </w:tc>
        <w:tc>
          <w:tcPr>
            <w:tcW w:w="1143" w:type="dxa"/>
            <w:tcBorders>
              <w:top w:val="single" w:sz="6" w:space="0" w:color="auto"/>
              <w:left w:val="single" w:sz="6" w:space="0" w:color="auto"/>
              <w:bottom w:val="single" w:sz="6" w:space="0" w:color="auto"/>
              <w:right w:val="double" w:sz="4" w:space="0" w:color="auto"/>
            </w:tcBorders>
          </w:tcPr>
          <w:p w14:paraId="3BA01CD9" w14:textId="77777777" w:rsidR="009B6B42" w:rsidRPr="006A0234" w:rsidRDefault="009B6B42" w:rsidP="00941A41">
            <w:pPr>
              <w:spacing w:after="0"/>
              <w:jc w:val="right"/>
              <w:rPr>
                <w:rFonts w:ascii="Times New Roman" w:hAnsi="Times New Roman" w:cs="Times New Roman"/>
                <w:b/>
                <w:sz w:val="20"/>
                <w:szCs w:val="20"/>
              </w:rPr>
            </w:pPr>
            <w:r>
              <w:rPr>
                <w:rFonts w:ascii="Times New Roman" w:hAnsi="Times New Roman" w:cs="Times New Roman"/>
                <w:b/>
                <w:sz w:val="20"/>
                <w:szCs w:val="20"/>
              </w:rPr>
              <w:t>$9,000.00</w:t>
            </w:r>
          </w:p>
        </w:tc>
      </w:tr>
      <w:tr w:rsidR="009B6B42" w14:paraId="021B2166" w14:textId="77777777" w:rsidTr="009B6B42">
        <w:tc>
          <w:tcPr>
            <w:tcW w:w="4347" w:type="dxa"/>
            <w:tcBorders>
              <w:top w:val="single" w:sz="6" w:space="0" w:color="auto"/>
              <w:left w:val="double" w:sz="4" w:space="0" w:color="auto"/>
              <w:bottom w:val="single" w:sz="6" w:space="0" w:color="auto"/>
              <w:right w:val="double" w:sz="4" w:space="0" w:color="auto"/>
            </w:tcBorders>
          </w:tcPr>
          <w:p w14:paraId="1FFD79E6" w14:textId="77777777" w:rsidR="009B6B42" w:rsidRPr="00806AF8" w:rsidRDefault="009B6B42" w:rsidP="00F039C5">
            <w:pPr>
              <w:spacing w:after="0"/>
              <w:rPr>
                <w:rFonts w:ascii="Times New Roman" w:hAnsi="Times New Roman" w:cs="Times New Roman"/>
                <w:sz w:val="20"/>
                <w:szCs w:val="20"/>
              </w:rPr>
            </w:pPr>
            <w:r w:rsidRPr="00806AF8">
              <w:rPr>
                <w:rFonts w:ascii="Times New Roman" w:hAnsi="Times New Roman" w:cs="Times New Roman"/>
                <w:sz w:val="20"/>
                <w:szCs w:val="20"/>
              </w:rPr>
              <w:t xml:space="preserve">Estimated </w:t>
            </w:r>
            <w:r>
              <w:rPr>
                <w:rFonts w:ascii="Times New Roman" w:hAnsi="Times New Roman" w:cs="Times New Roman"/>
                <w:sz w:val="20"/>
                <w:szCs w:val="20"/>
              </w:rPr>
              <w:t>misc. costs (</w:t>
            </w:r>
            <w:r w:rsidRPr="00F039C5">
              <w:rPr>
                <w:rFonts w:ascii="Times New Roman" w:hAnsi="Times New Roman" w:cs="Times New Roman"/>
                <w:sz w:val="16"/>
                <w:szCs w:val="16"/>
              </w:rPr>
              <w:t>materials, supplies, shipping, etc</w:t>
            </w:r>
            <w:r>
              <w:rPr>
                <w:rFonts w:ascii="Times New Roman" w:hAnsi="Times New Roman" w:cs="Times New Roman"/>
                <w:sz w:val="20"/>
                <w:szCs w:val="20"/>
              </w:rPr>
              <w:t>.)</w:t>
            </w:r>
          </w:p>
        </w:tc>
        <w:tc>
          <w:tcPr>
            <w:tcW w:w="1075" w:type="dxa"/>
            <w:tcBorders>
              <w:top w:val="single" w:sz="6" w:space="0" w:color="auto"/>
              <w:left w:val="double" w:sz="4" w:space="0" w:color="auto"/>
              <w:bottom w:val="single" w:sz="6" w:space="0" w:color="auto"/>
              <w:right w:val="single" w:sz="6" w:space="0" w:color="auto"/>
            </w:tcBorders>
          </w:tcPr>
          <w:p w14:paraId="5A3A3DB3" w14:textId="77777777" w:rsidR="009B6B42" w:rsidRDefault="009B6B42" w:rsidP="00941A41">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16" w:type="dxa"/>
            <w:tcBorders>
              <w:top w:val="single" w:sz="6" w:space="0" w:color="auto"/>
              <w:left w:val="single" w:sz="6" w:space="0" w:color="auto"/>
              <w:bottom w:val="single" w:sz="6" w:space="0" w:color="auto"/>
              <w:right w:val="single" w:sz="6" w:space="0" w:color="auto"/>
            </w:tcBorders>
          </w:tcPr>
          <w:p w14:paraId="075DF15E" w14:textId="77777777" w:rsidR="009B6B42" w:rsidRDefault="009B6B42" w:rsidP="00941A41">
            <w:pPr>
              <w:spacing w:after="0"/>
              <w:jc w:val="right"/>
              <w:rPr>
                <w:rFonts w:ascii="Times New Roman" w:hAnsi="Times New Roman" w:cs="Times New Roman"/>
                <w:sz w:val="20"/>
                <w:szCs w:val="20"/>
              </w:rPr>
            </w:pPr>
            <w:r>
              <w:rPr>
                <w:rFonts w:ascii="Times New Roman" w:hAnsi="Times New Roman" w:cs="Times New Roman"/>
                <w:sz w:val="20"/>
                <w:szCs w:val="20"/>
              </w:rPr>
              <w:t>$1,000.00</w:t>
            </w:r>
          </w:p>
        </w:tc>
        <w:tc>
          <w:tcPr>
            <w:tcW w:w="1116" w:type="dxa"/>
            <w:tcBorders>
              <w:top w:val="single" w:sz="6" w:space="0" w:color="auto"/>
              <w:left w:val="single" w:sz="6" w:space="0" w:color="auto"/>
              <w:bottom w:val="single" w:sz="6" w:space="0" w:color="auto"/>
              <w:right w:val="double" w:sz="4" w:space="0" w:color="auto"/>
            </w:tcBorders>
          </w:tcPr>
          <w:p w14:paraId="3A0167DC" w14:textId="77777777" w:rsidR="009B6B42" w:rsidRPr="006A0234" w:rsidRDefault="009B6B42" w:rsidP="005E741E">
            <w:pPr>
              <w:spacing w:after="0"/>
              <w:jc w:val="right"/>
              <w:rPr>
                <w:rFonts w:ascii="Times New Roman" w:hAnsi="Times New Roman" w:cs="Times New Roman"/>
                <w:sz w:val="20"/>
                <w:szCs w:val="20"/>
              </w:rPr>
            </w:pPr>
            <w:r w:rsidRPr="006A0234">
              <w:rPr>
                <w:rFonts w:ascii="Times New Roman" w:hAnsi="Times New Roman" w:cs="Times New Roman"/>
                <w:sz w:val="20"/>
                <w:szCs w:val="20"/>
              </w:rPr>
              <w:t>$1,000.00</w:t>
            </w:r>
          </w:p>
        </w:tc>
        <w:tc>
          <w:tcPr>
            <w:tcW w:w="1116" w:type="dxa"/>
            <w:tcBorders>
              <w:top w:val="single" w:sz="6" w:space="0" w:color="auto"/>
              <w:left w:val="double" w:sz="4" w:space="0" w:color="auto"/>
              <w:bottom w:val="single" w:sz="6" w:space="0" w:color="auto"/>
              <w:right w:val="double" w:sz="4" w:space="0" w:color="auto"/>
            </w:tcBorders>
          </w:tcPr>
          <w:p w14:paraId="62FA2C0D" w14:textId="77777777" w:rsidR="009B6B42" w:rsidRPr="00506EA6" w:rsidRDefault="009B6B42" w:rsidP="005E741E">
            <w:pPr>
              <w:spacing w:after="0"/>
              <w:jc w:val="right"/>
              <w:rPr>
                <w:rFonts w:ascii="Times New Roman" w:hAnsi="Times New Roman" w:cs="Times New Roman"/>
                <w:b/>
                <w:sz w:val="20"/>
                <w:szCs w:val="20"/>
                <w:u w:val="double"/>
              </w:rPr>
            </w:pPr>
            <w:r w:rsidRPr="00506EA6">
              <w:rPr>
                <w:rFonts w:ascii="Times New Roman" w:hAnsi="Times New Roman" w:cs="Times New Roman"/>
                <w:b/>
                <w:sz w:val="20"/>
                <w:szCs w:val="20"/>
                <w:u w:val="double"/>
              </w:rPr>
              <w:t>$1,000.00</w:t>
            </w:r>
          </w:p>
        </w:tc>
        <w:tc>
          <w:tcPr>
            <w:tcW w:w="1162" w:type="dxa"/>
            <w:tcBorders>
              <w:top w:val="single" w:sz="6" w:space="0" w:color="auto"/>
              <w:left w:val="double" w:sz="4" w:space="0" w:color="auto"/>
              <w:bottom w:val="single" w:sz="6" w:space="0" w:color="auto"/>
              <w:right w:val="single" w:sz="6" w:space="0" w:color="auto"/>
            </w:tcBorders>
          </w:tcPr>
          <w:p w14:paraId="3278D35A" w14:textId="77777777" w:rsidR="009B6B42" w:rsidRDefault="009B6B42" w:rsidP="00941A41">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38" w:type="dxa"/>
            <w:tcBorders>
              <w:top w:val="single" w:sz="6" w:space="0" w:color="auto"/>
              <w:left w:val="single" w:sz="6" w:space="0" w:color="auto"/>
              <w:bottom w:val="single" w:sz="6" w:space="0" w:color="auto"/>
              <w:right w:val="single" w:sz="6" w:space="0" w:color="auto"/>
            </w:tcBorders>
          </w:tcPr>
          <w:p w14:paraId="6050FB5C" w14:textId="77777777" w:rsidR="009B6B42" w:rsidRDefault="009B6B42" w:rsidP="00941A41">
            <w:pPr>
              <w:spacing w:after="0"/>
              <w:jc w:val="right"/>
              <w:rPr>
                <w:rFonts w:ascii="Times New Roman" w:hAnsi="Times New Roman" w:cs="Times New Roman"/>
                <w:sz w:val="20"/>
                <w:szCs w:val="20"/>
              </w:rPr>
            </w:pPr>
            <w:r>
              <w:rPr>
                <w:rFonts w:ascii="Times New Roman" w:hAnsi="Times New Roman" w:cs="Times New Roman"/>
                <w:sz w:val="20"/>
                <w:szCs w:val="20"/>
              </w:rPr>
              <w:t>$1,750.00</w:t>
            </w:r>
          </w:p>
        </w:tc>
        <w:tc>
          <w:tcPr>
            <w:tcW w:w="1163" w:type="dxa"/>
            <w:tcBorders>
              <w:top w:val="single" w:sz="6" w:space="0" w:color="auto"/>
              <w:left w:val="single" w:sz="6" w:space="0" w:color="auto"/>
              <w:bottom w:val="single" w:sz="6" w:space="0" w:color="auto"/>
              <w:right w:val="double" w:sz="4" w:space="0" w:color="auto"/>
            </w:tcBorders>
          </w:tcPr>
          <w:p w14:paraId="1DC7E632" w14:textId="77777777" w:rsidR="009B6B42" w:rsidRPr="006A0234" w:rsidRDefault="009B6B42" w:rsidP="00941A41">
            <w:pPr>
              <w:spacing w:after="0"/>
              <w:jc w:val="right"/>
              <w:rPr>
                <w:rFonts w:ascii="Times New Roman" w:hAnsi="Times New Roman" w:cs="Times New Roman"/>
                <w:sz w:val="20"/>
                <w:szCs w:val="20"/>
              </w:rPr>
            </w:pPr>
            <w:r w:rsidRPr="006A0234">
              <w:rPr>
                <w:rFonts w:ascii="Times New Roman" w:hAnsi="Times New Roman" w:cs="Times New Roman"/>
                <w:sz w:val="20"/>
                <w:szCs w:val="20"/>
              </w:rPr>
              <w:t>$1,750.00</w:t>
            </w:r>
          </w:p>
        </w:tc>
        <w:tc>
          <w:tcPr>
            <w:tcW w:w="1143" w:type="dxa"/>
            <w:tcBorders>
              <w:top w:val="single" w:sz="6" w:space="0" w:color="auto"/>
              <w:left w:val="single" w:sz="6" w:space="0" w:color="auto"/>
              <w:bottom w:val="single" w:sz="6" w:space="0" w:color="auto"/>
              <w:right w:val="double" w:sz="4" w:space="0" w:color="auto"/>
            </w:tcBorders>
          </w:tcPr>
          <w:p w14:paraId="18D6C39D" w14:textId="77777777" w:rsidR="009B6B42" w:rsidRPr="00506EA6" w:rsidRDefault="009B6B42" w:rsidP="005E741E">
            <w:pPr>
              <w:spacing w:after="0"/>
              <w:jc w:val="right"/>
              <w:rPr>
                <w:rFonts w:ascii="Times New Roman" w:hAnsi="Times New Roman" w:cs="Times New Roman"/>
                <w:b/>
                <w:sz w:val="20"/>
                <w:szCs w:val="20"/>
                <w:u w:val="double"/>
              </w:rPr>
            </w:pPr>
            <w:r w:rsidRPr="00506EA6">
              <w:rPr>
                <w:rFonts w:ascii="Times New Roman" w:hAnsi="Times New Roman" w:cs="Times New Roman"/>
                <w:b/>
                <w:sz w:val="20"/>
                <w:szCs w:val="20"/>
                <w:u w:val="double"/>
              </w:rPr>
              <w:t>$1,750.00</w:t>
            </w:r>
          </w:p>
        </w:tc>
      </w:tr>
      <w:tr w:rsidR="009B6B42" w14:paraId="78CD5627" w14:textId="77777777" w:rsidTr="009B6B42">
        <w:tc>
          <w:tcPr>
            <w:tcW w:w="4347" w:type="dxa"/>
            <w:tcBorders>
              <w:top w:val="single" w:sz="6" w:space="0" w:color="auto"/>
              <w:left w:val="double" w:sz="4" w:space="0" w:color="auto"/>
              <w:bottom w:val="single" w:sz="6" w:space="0" w:color="auto"/>
              <w:right w:val="double" w:sz="4" w:space="0" w:color="auto"/>
            </w:tcBorders>
          </w:tcPr>
          <w:p w14:paraId="65DD04D8" w14:textId="77777777" w:rsidR="009B6B42" w:rsidRPr="00F039C5" w:rsidRDefault="009B6B42" w:rsidP="00F039C5">
            <w:pPr>
              <w:spacing w:after="0"/>
              <w:jc w:val="right"/>
              <w:rPr>
                <w:rFonts w:ascii="Times New Roman" w:hAnsi="Times New Roman" w:cs="Times New Roman"/>
                <w:b/>
                <w:sz w:val="20"/>
                <w:szCs w:val="20"/>
              </w:rPr>
            </w:pPr>
            <w:r>
              <w:rPr>
                <w:rFonts w:ascii="Times New Roman" w:hAnsi="Times New Roman" w:cs="Times New Roman"/>
                <w:b/>
                <w:sz w:val="20"/>
                <w:szCs w:val="20"/>
              </w:rPr>
              <w:t>Total for 3 year study</w:t>
            </w:r>
          </w:p>
        </w:tc>
        <w:tc>
          <w:tcPr>
            <w:tcW w:w="1075" w:type="dxa"/>
            <w:tcBorders>
              <w:top w:val="single" w:sz="6" w:space="0" w:color="auto"/>
              <w:left w:val="double" w:sz="4" w:space="0" w:color="auto"/>
              <w:bottom w:val="single" w:sz="6" w:space="0" w:color="auto"/>
              <w:right w:val="nil"/>
            </w:tcBorders>
          </w:tcPr>
          <w:p w14:paraId="6B0FB48D" w14:textId="77777777" w:rsidR="009B6B42" w:rsidRDefault="009B6B42" w:rsidP="00941A41">
            <w:pPr>
              <w:spacing w:after="0"/>
              <w:jc w:val="center"/>
              <w:rPr>
                <w:rFonts w:ascii="Times New Roman" w:hAnsi="Times New Roman" w:cs="Times New Roman"/>
                <w:sz w:val="20"/>
                <w:szCs w:val="20"/>
              </w:rPr>
            </w:pPr>
          </w:p>
        </w:tc>
        <w:tc>
          <w:tcPr>
            <w:tcW w:w="1016" w:type="dxa"/>
            <w:tcBorders>
              <w:top w:val="single" w:sz="6" w:space="0" w:color="auto"/>
              <w:left w:val="nil"/>
              <w:bottom w:val="single" w:sz="6" w:space="0" w:color="auto"/>
              <w:right w:val="nil"/>
            </w:tcBorders>
          </w:tcPr>
          <w:p w14:paraId="548E6D26" w14:textId="77777777" w:rsidR="009B6B42" w:rsidRDefault="009B6B42" w:rsidP="00941A41">
            <w:pPr>
              <w:spacing w:after="0"/>
              <w:jc w:val="right"/>
              <w:rPr>
                <w:rFonts w:ascii="Times New Roman" w:hAnsi="Times New Roman" w:cs="Times New Roman"/>
                <w:sz w:val="20"/>
                <w:szCs w:val="20"/>
              </w:rPr>
            </w:pPr>
          </w:p>
        </w:tc>
        <w:tc>
          <w:tcPr>
            <w:tcW w:w="1116" w:type="dxa"/>
            <w:tcBorders>
              <w:top w:val="single" w:sz="6" w:space="0" w:color="auto"/>
              <w:left w:val="nil"/>
              <w:bottom w:val="single" w:sz="6" w:space="0" w:color="auto"/>
              <w:right w:val="double" w:sz="4" w:space="0" w:color="auto"/>
            </w:tcBorders>
          </w:tcPr>
          <w:p w14:paraId="76FE223E" w14:textId="77777777" w:rsidR="009B6B42" w:rsidRPr="006A0234" w:rsidRDefault="009B6B42" w:rsidP="005E741E">
            <w:pPr>
              <w:spacing w:after="0"/>
              <w:jc w:val="right"/>
              <w:rPr>
                <w:rFonts w:ascii="Times New Roman" w:hAnsi="Times New Roman" w:cs="Times New Roman"/>
                <w:sz w:val="20"/>
                <w:szCs w:val="20"/>
              </w:rPr>
            </w:pPr>
          </w:p>
        </w:tc>
        <w:tc>
          <w:tcPr>
            <w:tcW w:w="1116" w:type="dxa"/>
            <w:tcBorders>
              <w:top w:val="single" w:sz="6" w:space="0" w:color="auto"/>
              <w:left w:val="double" w:sz="4" w:space="0" w:color="auto"/>
              <w:bottom w:val="single" w:sz="6" w:space="0" w:color="auto"/>
              <w:right w:val="double" w:sz="4" w:space="0" w:color="auto"/>
            </w:tcBorders>
          </w:tcPr>
          <w:p w14:paraId="0E74A3C1" w14:textId="77777777" w:rsidR="009B6B42" w:rsidRDefault="009B6B42" w:rsidP="009B6B42">
            <w:pPr>
              <w:spacing w:after="0"/>
              <w:jc w:val="right"/>
              <w:rPr>
                <w:rFonts w:ascii="Times New Roman" w:hAnsi="Times New Roman" w:cs="Times New Roman"/>
                <w:b/>
                <w:sz w:val="20"/>
                <w:szCs w:val="20"/>
              </w:rPr>
            </w:pPr>
            <w:r>
              <w:rPr>
                <w:rFonts w:ascii="Times New Roman" w:hAnsi="Times New Roman" w:cs="Times New Roman"/>
                <w:b/>
                <w:sz w:val="20"/>
                <w:szCs w:val="20"/>
              </w:rPr>
              <w:t>$23,250.50</w:t>
            </w:r>
          </w:p>
        </w:tc>
        <w:tc>
          <w:tcPr>
            <w:tcW w:w="1162" w:type="dxa"/>
            <w:tcBorders>
              <w:top w:val="single" w:sz="6" w:space="0" w:color="auto"/>
              <w:left w:val="double" w:sz="4" w:space="0" w:color="auto"/>
              <w:bottom w:val="single" w:sz="6" w:space="0" w:color="auto"/>
              <w:right w:val="nil"/>
            </w:tcBorders>
          </w:tcPr>
          <w:p w14:paraId="2BBAE713" w14:textId="77777777" w:rsidR="009B6B42" w:rsidRDefault="009B6B42" w:rsidP="00941A41">
            <w:pPr>
              <w:spacing w:after="0"/>
              <w:jc w:val="center"/>
              <w:rPr>
                <w:rFonts w:ascii="Times New Roman" w:hAnsi="Times New Roman" w:cs="Times New Roman"/>
                <w:sz w:val="20"/>
                <w:szCs w:val="20"/>
              </w:rPr>
            </w:pPr>
          </w:p>
        </w:tc>
        <w:tc>
          <w:tcPr>
            <w:tcW w:w="1038" w:type="dxa"/>
            <w:tcBorders>
              <w:top w:val="single" w:sz="6" w:space="0" w:color="auto"/>
              <w:left w:val="nil"/>
              <w:bottom w:val="single" w:sz="6" w:space="0" w:color="auto"/>
              <w:right w:val="nil"/>
            </w:tcBorders>
          </w:tcPr>
          <w:p w14:paraId="3C3F9414" w14:textId="77777777" w:rsidR="009B6B42" w:rsidRDefault="009B6B42" w:rsidP="00941A41">
            <w:pPr>
              <w:spacing w:after="0"/>
              <w:jc w:val="right"/>
              <w:rPr>
                <w:rFonts w:ascii="Times New Roman" w:hAnsi="Times New Roman" w:cs="Times New Roman"/>
                <w:sz w:val="20"/>
                <w:szCs w:val="20"/>
              </w:rPr>
            </w:pPr>
          </w:p>
        </w:tc>
        <w:tc>
          <w:tcPr>
            <w:tcW w:w="1163" w:type="dxa"/>
            <w:tcBorders>
              <w:top w:val="single" w:sz="6" w:space="0" w:color="auto"/>
              <w:left w:val="nil"/>
              <w:bottom w:val="single" w:sz="6" w:space="0" w:color="auto"/>
              <w:right w:val="double" w:sz="4" w:space="0" w:color="auto"/>
            </w:tcBorders>
          </w:tcPr>
          <w:p w14:paraId="6E208460" w14:textId="77777777" w:rsidR="009B6B42" w:rsidRPr="006A0234" w:rsidRDefault="009B6B42" w:rsidP="00941A41">
            <w:pPr>
              <w:spacing w:after="0"/>
              <w:jc w:val="right"/>
              <w:rPr>
                <w:rFonts w:ascii="Times New Roman" w:hAnsi="Times New Roman" w:cs="Times New Roman"/>
                <w:sz w:val="20"/>
                <w:szCs w:val="20"/>
              </w:rPr>
            </w:pPr>
          </w:p>
        </w:tc>
        <w:tc>
          <w:tcPr>
            <w:tcW w:w="1143" w:type="dxa"/>
            <w:tcBorders>
              <w:top w:val="single" w:sz="6" w:space="0" w:color="auto"/>
              <w:left w:val="single" w:sz="6" w:space="0" w:color="auto"/>
              <w:bottom w:val="single" w:sz="6" w:space="0" w:color="auto"/>
              <w:right w:val="double" w:sz="4" w:space="0" w:color="auto"/>
            </w:tcBorders>
          </w:tcPr>
          <w:p w14:paraId="70835128" w14:textId="77777777" w:rsidR="009B6B42" w:rsidRDefault="009B6B42" w:rsidP="009B6B42">
            <w:pPr>
              <w:spacing w:after="0"/>
              <w:jc w:val="right"/>
              <w:rPr>
                <w:rFonts w:ascii="Times New Roman" w:hAnsi="Times New Roman" w:cs="Times New Roman"/>
                <w:b/>
                <w:sz w:val="20"/>
                <w:szCs w:val="20"/>
              </w:rPr>
            </w:pPr>
            <w:r>
              <w:rPr>
                <w:rFonts w:ascii="Times New Roman" w:hAnsi="Times New Roman" w:cs="Times New Roman"/>
                <w:b/>
                <w:sz w:val="20"/>
                <w:szCs w:val="20"/>
              </w:rPr>
              <w:t>$46,251.00</w:t>
            </w:r>
          </w:p>
        </w:tc>
      </w:tr>
      <w:tr w:rsidR="009B6B42" w14:paraId="588536E0" w14:textId="77777777" w:rsidTr="009B6B42">
        <w:tc>
          <w:tcPr>
            <w:tcW w:w="4347" w:type="dxa"/>
            <w:tcBorders>
              <w:top w:val="single" w:sz="6" w:space="0" w:color="auto"/>
              <w:left w:val="nil"/>
              <w:bottom w:val="nil"/>
              <w:right w:val="double" w:sz="4" w:space="0" w:color="auto"/>
            </w:tcBorders>
          </w:tcPr>
          <w:p w14:paraId="786F0249" w14:textId="77777777" w:rsidR="009B6B42" w:rsidRDefault="009B6B42" w:rsidP="00F039C5">
            <w:pPr>
              <w:spacing w:after="0"/>
              <w:jc w:val="right"/>
              <w:rPr>
                <w:rFonts w:ascii="Times New Roman" w:hAnsi="Times New Roman" w:cs="Times New Roman"/>
                <w:b/>
                <w:sz w:val="20"/>
                <w:szCs w:val="20"/>
              </w:rPr>
            </w:pPr>
          </w:p>
        </w:tc>
        <w:tc>
          <w:tcPr>
            <w:tcW w:w="8829" w:type="dxa"/>
            <w:gridSpan w:val="8"/>
            <w:tcBorders>
              <w:top w:val="single" w:sz="6" w:space="0" w:color="auto"/>
              <w:left w:val="double" w:sz="4" w:space="0" w:color="auto"/>
              <w:bottom w:val="double" w:sz="4" w:space="0" w:color="auto"/>
              <w:right w:val="double" w:sz="4" w:space="0" w:color="auto"/>
            </w:tcBorders>
          </w:tcPr>
          <w:p w14:paraId="55B7AEEB" w14:textId="77777777" w:rsidR="009B6B42" w:rsidRPr="00506EA6" w:rsidRDefault="009B6B42" w:rsidP="00506EA6">
            <w:pPr>
              <w:spacing w:after="0"/>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z w:val="20"/>
                <w:szCs w:val="20"/>
              </w:rPr>
              <w:t>Assumes an estimated mortality rate of 5% caused by urinary calculi. This estimate is based on the frequency of urinary calculi diagnosis in the past 10 years that have occurred in the herds of 130 members who responded to an informal membership survey completed December 8, 2021.</w:t>
            </w:r>
          </w:p>
          <w:p w14:paraId="02BE45B7" w14:textId="77777777" w:rsidR="009B6B42" w:rsidRPr="00506EA6" w:rsidRDefault="009B6B42" w:rsidP="00506EA6">
            <w:pPr>
              <w:spacing w:after="0"/>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z w:val="20"/>
                <w:szCs w:val="20"/>
              </w:rPr>
              <w:t xml:space="preserve">10% mortality rate from all other causes is a rough estimate. </w:t>
            </w:r>
          </w:p>
        </w:tc>
      </w:tr>
    </w:tbl>
    <w:p w14:paraId="09970E77" w14:textId="77777777" w:rsidR="00D67B1B" w:rsidRPr="00D67B1B" w:rsidRDefault="00D67B1B" w:rsidP="00D67B1B">
      <w:pPr>
        <w:tabs>
          <w:tab w:val="left" w:pos="720"/>
          <w:tab w:val="left" w:pos="1440"/>
          <w:tab w:val="left" w:pos="2160"/>
          <w:tab w:val="left" w:pos="2880"/>
          <w:tab w:val="left" w:pos="3600"/>
          <w:tab w:val="left" w:pos="4320"/>
          <w:tab w:val="left" w:pos="5040"/>
          <w:tab w:val="left" w:pos="5760"/>
          <w:tab w:val="left" w:pos="6120"/>
          <w:tab w:val="left" w:pos="7200"/>
          <w:tab w:val="left" w:pos="7470"/>
          <w:tab w:val="left" w:pos="8190"/>
          <w:tab w:val="decimal" w:pos="9090"/>
        </w:tabs>
        <w:spacing w:after="0"/>
        <w:ind w:firstLine="270"/>
        <w:rPr>
          <w:rFonts w:ascii="Times New Roman" w:hAnsi="Times New Roman" w:cs="Times New Roman"/>
          <w:sz w:val="20"/>
          <w:szCs w:val="20"/>
        </w:rPr>
      </w:pPr>
    </w:p>
    <w:p w14:paraId="0312A29B" w14:textId="77777777" w:rsidR="00F2393B" w:rsidRDefault="00F2393B">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CF4D0B3" w14:textId="77777777" w:rsidR="00431D06" w:rsidRPr="00807C9C" w:rsidRDefault="00D67B1B" w:rsidP="000E7A3D">
      <w:pPr>
        <w:pStyle w:val="PlainText"/>
        <w:spacing w:after="12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Outline of Study </w:t>
      </w:r>
      <w:r w:rsidR="00431D06">
        <w:rPr>
          <w:rFonts w:ascii="Times New Roman" w:hAnsi="Times New Roman" w:cs="Times New Roman"/>
          <w:b/>
          <w:bCs/>
          <w:sz w:val="24"/>
          <w:szCs w:val="24"/>
        </w:rPr>
        <w:t>Parameters</w:t>
      </w:r>
    </w:p>
    <w:p w14:paraId="56F74C4E" w14:textId="77777777" w:rsidR="00431D06" w:rsidRPr="000E7A3D" w:rsidRDefault="00431D06" w:rsidP="00540F73">
      <w:pPr>
        <w:pStyle w:val="PlainText"/>
        <w:numPr>
          <w:ilvl w:val="0"/>
          <w:numId w:val="1"/>
        </w:numPr>
        <w:ind w:left="360"/>
        <w:rPr>
          <w:rFonts w:ascii="Times New Roman" w:hAnsi="Times New Roman" w:cs="Times New Roman"/>
          <w:sz w:val="24"/>
          <w:szCs w:val="24"/>
        </w:rPr>
      </w:pPr>
      <w:r w:rsidRPr="000E7A3D">
        <w:rPr>
          <w:rFonts w:ascii="Times New Roman" w:hAnsi="Times New Roman" w:cs="Times New Roman"/>
          <w:sz w:val="24"/>
          <w:szCs w:val="24"/>
        </w:rPr>
        <w:t>Preliminary Testing</w:t>
      </w:r>
    </w:p>
    <w:p w14:paraId="68371EAE" w14:textId="77777777" w:rsidR="00431D06" w:rsidRPr="000E7A3D" w:rsidRDefault="00431D06" w:rsidP="00540F73">
      <w:pPr>
        <w:pStyle w:val="PlainText"/>
        <w:numPr>
          <w:ilvl w:val="1"/>
          <w:numId w:val="1"/>
        </w:numPr>
        <w:ind w:left="720"/>
        <w:jc w:val="both"/>
        <w:rPr>
          <w:rFonts w:ascii="Times New Roman" w:hAnsi="Times New Roman" w:cs="Times New Roman"/>
          <w:sz w:val="24"/>
          <w:szCs w:val="24"/>
        </w:rPr>
      </w:pPr>
      <w:r w:rsidRPr="000E7A3D">
        <w:rPr>
          <w:rFonts w:ascii="Times New Roman" w:hAnsi="Times New Roman" w:cs="Times New Roman"/>
          <w:sz w:val="24"/>
          <w:szCs w:val="24"/>
        </w:rPr>
        <w:t xml:space="preserve">Hay/Browse </w:t>
      </w:r>
      <w:r w:rsidR="00AD2B52" w:rsidRPr="000E7A3D">
        <w:rPr>
          <w:rFonts w:ascii="Times New Roman" w:hAnsi="Times New Roman" w:cs="Times New Roman"/>
          <w:sz w:val="24"/>
          <w:szCs w:val="24"/>
        </w:rPr>
        <w:t>–</w:t>
      </w:r>
      <w:r w:rsidRPr="000E7A3D">
        <w:rPr>
          <w:rFonts w:ascii="Times New Roman" w:hAnsi="Times New Roman" w:cs="Times New Roman"/>
          <w:sz w:val="24"/>
          <w:szCs w:val="24"/>
        </w:rPr>
        <w:t xml:space="preserve"> </w:t>
      </w:r>
      <w:r w:rsidR="00AD2B52" w:rsidRPr="000E7A3D">
        <w:rPr>
          <w:rFonts w:ascii="Times New Roman" w:hAnsi="Times New Roman" w:cs="Times New Roman"/>
          <w:sz w:val="24"/>
          <w:szCs w:val="24"/>
        </w:rPr>
        <w:t xml:space="preserve">one initial analysis at the beginning of the study and bi-annual </w:t>
      </w:r>
      <w:r w:rsidRPr="000E7A3D">
        <w:rPr>
          <w:rFonts w:ascii="Times New Roman" w:hAnsi="Times New Roman" w:cs="Times New Roman"/>
          <w:sz w:val="24"/>
          <w:szCs w:val="24"/>
        </w:rPr>
        <w:t>analysis</w:t>
      </w:r>
      <w:r w:rsidR="00AD2B52" w:rsidRPr="000E7A3D">
        <w:rPr>
          <w:rFonts w:ascii="Times New Roman" w:hAnsi="Times New Roman" w:cs="Times New Roman"/>
          <w:sz w:val="24"/>
          <w:szCs w:val="24"/>
        </w:rPr>
        <w:t xml:space="preserve"> during the term of the study</w:t>
      </w:r>
      <w:r w:rsidRPr="000E7A3D">
        <w:rPr>
          <w:rFonts w:ascii="Times New Roman" w:hAnsi="Times New Roman" w:cs="Times New Roman"/>
          <w:sz w:val="24"/>
          <w:szCs w:val="24"/>
        </w:rPr>
        <w:t xml:space="preserve"> </w:t>
      </w:r>
    </w:p>
    <w:p w14:paraId="25A0EAF4" w14:textId="77777777" w:rsidR="00431D06" w:rsidRPr="000E7A3D" w:rsidRDefault="00431D06" w:rsidP="00540F73">
      <w:pPr>
        <w:pStyle w:val="PlainText"/>
        <w:numPr>
          <w:ilvl w:val="1"/>
          <w:numId w:val="1"/>
        </w:numPr>
        <w:ind w:left="720"/>
        <w:jc w:val="both"/>
        <w:rPr>
          <w:rFonts w:ascii="Times New Roman" w:hAnsi="Times New Roman" w:cs="Times New Roman"/>
          <w:sz w:val="24"/>
          <w:szCs w:val="24"/>
        </w:rPr>
      </w:pPr>
      <w:r w:rsidRPr="000E7A3D">
        <w:rPr>
          <w:rFonts w:ascii="Times New Roman" w:hAnsi="Times New Roman" w:cs="Times New Roman"/>
          <w:sz w:val="24"/>
          <w:szCs w:val="24"/>
        </w:rPr>
        <w:t>Water - initial water analysis and follow</w:t>
      </w:r>
      <w:r w:rsidR="00AD2B52" w:rsidRPr="000E7A3D">
        <w:rPr>
          <w:rFonts w:ascii="Times New Roman" w:hAnsi="Times New Roman" w:cs="Times New Roman"/>
          <w:sz w:val="24"/>
          <w:szCs w:val="24"/>
        </w:rPr>
        <w:t>-</w:t>
      </w:r>
      <w:r w:rsidRPr="000E7A3D">
        <w:rPr>
          <w:rFonts w:ascii="Times New Roman" w:hAnsi="Times New Roman" w:cs="Times New Roman"/>
          <w:sz w:val="24"/>
          <w:szCs w:val="24"/>
        </w:rPr>
        <w:t xml:space="preserve">up analysis if water source or conditions change during the study (change in water source, use of a </w:t>
      </w:r>
      <w:r w:rsidR="003263C0">
        <w:rPr>
          <w:rFonts w:ascii="Times New Roman" w:hAnsi="Times New Roman" w:cs="Times New Roman"/>
          <w:sz w:val="24"/>
          <w:szCs w:val="24"/>
        </w:rPr>
        <w:t xml:space="preserve">water </w:t>
      </w:r>
      <w:r w:rsidRPr="000E7A3D">
        <w:rPr>
          <w:rFonts w:ascii="Times New Roman" w:hAnsi="Times New Roman" w:cs="Times New Roman"/>
          <w:sz w:val="24"/>
          <w:szCs w:val="24"/>
        </w:rPr>
        <w:t>softener, etc.)</w:t>
      </w:r>
    </w:p>
    <w:p w14:paraId="29626224" w14:textId="77777777" w:rsidR="00431D06" w:rsidRPr="000E7A3D" w:rsidRDefault="00431D06" w:rsidP="00540F73">
      <w:pPr>
        <w:pStyle w:val="PlainText"/>
        <w:numPr>
          <w:ilvl w:val="0"/>
          <w:numId w:val="1"/>
        </w:numPr>
        <w:ind w:left="360"/>
        <w:jc w:val="both"/>
        <w:rPr>
          <w:rFonts w:ascii="Times New Roman" w:hAnsi="Times New Roman" w:cs="Times New Roman"/>
          <w:sz w:val="24"/>
          <w:szCs w:val="24"/>
        </w:rPr>
      </w:pPr>
      <w:r w:rsidRPr="000E7A3D">
        <w:rPr>
          <w:rFonts w:ascii="Times New Roman" w:hAnsi="Times New Roman" w:cs="Times New Roman"/>
          <w:sz w:val="24"/>
          <w:szCs w:val="24"/>
        </w:rPr>
        <w:t>Body Condition Score / Weight</w:t>
      </w:r>
    </w:p>
    <w:p w14:paraId="3E5BCE34" w14:textId="77777777" w:rsidR="00431D06" w:rsidRPr="000E7A3D" w:rsidRDefault="00431D06" w:rsidP="00540F73">
      <w:pPr>
        <w:pStyle w:val="PlainText"/>
        <w:numPr>
          <w:ilvl w:val="1"/>
          <w:numId w:val="1"/>
        </w:numPr>
        <w:ind w:left="720"/>
        <w:jc w:val="both"/>
        <w:rPr>
          <w:rFonts w:ascii="Times New Roman" w:hAnsi="Times New Roman" w:cs="Times New Roman"/>
          <w:sz w:val="24"/>
          <w:szCs w:val="24"/>
        </w:rPr>
      </w:pPr>
      <w:r w:rsidRPr="000E7A3D">
        <w:rPr>
          <w:rFonts w:ascii="Times New Roman" w:hAnsi="Times New Roman" w:cs="Times New Roman"/>
          <w:sz w:val="24"/>
          <w:szCs w:val="24"/>
        </w:rPr>
        <w:t xml:space="preserve">Quarterly reporting of Body Condition Scores </w:t>
      </w:r>
    </w:p>
    <w:p w14:paraId="63027389" w14:textId="77777777" w:rsidR="00431D06" w:rsidRPr="000E7A3D" w:rsidRDefault="00431D06" w:rsidP="00540F73">
      <w:pPr>
        <w:pStyle w:val="PlainText"/>
        <w:numPr>
          <w:ilvl w:val="1"/>
          <w:numId w:val="1"/>
        </w:numPr>
        <w:ind w:left="720"/>
        <w:jc w:val="both"/>
        <w:rPr>
          <w:rFonts w:ascii="Times New Roman" w:hAnsi="Times New Roman" w:cs="Times New Roman"/>
          <w:sz w:val="24"/>
          <w:szCs w:val="24"/>
        </w:rPr>
      </w:pPr>
      <w:r w:rsidRPr="000E7A3D">
        <w:rPr>
          <w:rFonts w:ascii="Times New Roman" w:hAnsi="Times New Roman" w:cs="Times New Roman"/>
          <w:sz w:val="24"/>
          <w:szCs w:val="24"/>
        </w:rPr>
        <w:t xml:space="preserve">Quarterly reporting of individual goat weights (scale weight if possible, weight tapes are acceptable.) </w:t>
      </w:r>
    </w:p>
    <w:p w14:paraId="70173605" w14:textId="77777777" w:rsidR="00431D06" w:rsidRPr="000E7A3D" w:rsidRDefault="00431D06" w:rsidP="00540F73">
      <w:pPr>
        <w:pStyle w:val="PlainText"/>
        <w:numPr>
          <w:ilvl w:val="0"/>
          <w:numId w:val="1"/>
        </w:numPr>
        <w:ind w:left="360"/>
        <w:jc w:val="both"/>
        <w:rPr>
          <w:rFonts w:ascii="Times New Roman" w:hAnsi="Times New Roman" w:cs="Times New Roman"/>
          <w:sz w:val="24"/>
          <w:szCs w:val="24"/>
        </w:rPr>
      </w:pPr>
      <w:r w:rsidRPr="000E7A3D">
        <w:rPr>
          <w:rFonts w:ascii="Times New Roman" w:hAnsi="Times New Roman" w:cs="Times New Roman"/>
          <w:sz w:val="24"/>
          <w:szCs w:val="24"/>
        </w:rPr>
        <w:t>Data collection via surveys</w:t>
      </w:r>
    </w:p>
    <w:p w14:paraId="45804332" w14:textId="77777777" w:rsidR="00E96C4A" w:rsidRPr="000E7A3D" w:rsidRDefault="00E96C4A" w:rsidP="00540F73">
      <w:pPr>
        <w:pStyle w:val="PlainText"/>
        <w:numPr>
          <w:ilvl w:val="1"/>
          <w:numId w:val="1"/>
        </w:numPr>
        <w:ind w:left="720"/>
        <w:jc w:val="both"/>
        <w:rPr>
          <w:rFonts w:ascii="Times New Roman" w:hAnsi="Times New Roman" w:cs="Times New Roman"/>
          <w:sz w:val="24"/>
          <w:szCs w:val="24"/>
        </w:rPr>
      </w:pPr>
      <w:r w:rsidRPr="000E7A3D">
        <w:rPr>
          <w:rFonts w:ascii="Times New Roman" w:hAnsi="Times New Roman" w:cs="Times New Roman"/>
          <w:sz w:val="24"/>
          <w:szCs w:val="24"/>
        </w:rPr>
        <w:t xml:space="preserve">Pre-Survey Study – general information such as city, </w:t>
      </w:r>
      <w:r w:rsidR="00C6052F">
        <w:rPr>
          <w:rFonts w:ascii="Times New Roman" w:hAnsi="Times New Roman" w:cs="Times New Roman"/>
          <w:sz w:val="24"/>
          <w:szCs w:val="24"/>
        </w:rPr>
        <w:t xml:space="preserve">county, </w:t>
      </w:r>
      <w:r w:rsidRPr="000E7A3D">
        <w:rPr>
          <w:rFonts w:ascii="Times New Roman" w:hAnsi="Times New Roman" w:cs="Times New Roman"/>
          <w:sz w:val="24"/>
          <w:szCs w:val="24"/>
        </w:rPr>
        <w:t>state, length of goat ownership, number of goats, breeds, ages, sexes/castration, use of loose minerals/ammonium chloride/baking soda/apple cider vinegar, vaccine protocols (CD&amp;T, BoSe, copper bolus, etc.), age and method of castration</w:t>
      </w:r>
    </w:p>
    <w:p w14:paraId="649EA5DC" w14:textId="77777777" w:rsidR="00E96C4A" w:rsidRPr="000E7A3D" w:rsidRDefault="00E96C4A" w:rsidP="00540F73">
      <w:pPr>
        <w:pStyle w:val="PlainText"/>
        <w:numPr>
          <w:ilvl w:val="1"/>
          <w:numId w:val="1"/>
        </w:numPr>
        <w:ind w:left="720"/>
        <w:jc w:val="both"/>
        <w:rPr>
          <w:rFonts w:ascii="Times New Roman" w:hAnsi="Times New Roman" w:cs="Times New Roman"/>
          <w:sz w:val="24"/>
          <w:szCs w:val="24"/>
        </w:rPr>
      </w:pPr>
      <w:r w:rsidRPr="000E7A3D">
        <w:rPr>
          <w:rFonts w:ascii="Times New Roman" w:hAnsi="Times New Roman" w:cs="Times New Roman"/>
          <w:sz w:val="24"/>
          <w:szCs w:val="24"/>
        </w:rPr>
        <w:t xml:space="preserve">Quarterly Surveys – update information contained in Items 2a, 2b, and 3a above plus: frequency, length, etc. of hikes/pack trips during the preceding quarter, any changes to feed, water, minerals, access to pasture, health changes (parasites, pneumonia, etc.) </w:t>
      </w:r>
    </w:p>
    <w:p w14:paraId="354DDAD0" w14:textId="77777777" w:rsidR="00431D06" w:rsidRPr="000E7A3D" w:rsidRDefault="00874F67" w:rsidP="00540F73">
      <w:pPr>
        <w:pStyle w:val="PlainText"/>
        <w:numPr>
          <w:ilvl w:val="0"/>
          <w:numId w:val="1"/>
        </w:numPr>
        <w:ind w:left="360"/>
        <w:jc w:val="both"/>
        <w:rPr>
          <w:rFonts w:ascii="Times New Roman" w:hAnsi="Times New Roman" w:cs="Times New Roman"/>
          <w:sz w:val="24"/>
          <w:szCs w:val="24"/>
        </w:rPr>
      </w:pPr>
      <w:r w:rsidRPr="000E7A3D">
        <w:rPr>
          <w:rFonts w:ascii="Times New Roman" w:hAnsi="Times New Roman" w:cs="Times New Roman"/>
          <w:sz w:val="24"/>
          <w:szCs w:val="24"/>
        </w:rPr>
        <w:t>Postmortem</w:t>
      </w:r>
      <w:r w:rsidR="00431D06" w:rsidRPr="000E7A3D">
        <w:rPr>
          <w:rFonts w:ascii="Times New Roman" w:hAnsi="Times New Roman" w:cs="Times New Roman"/>
          <w:sz w:val="24"/>
          <w:szCs w:val="24"/>
        </w:rPr>
        <w:t xml:space="preserve"> Necropsy</w:t>
      </w:r>
      <w:r w:rsidR="009A21CA" w:rsidRPr="000E7A3D">
        <w:rPr>
          <w:rFonts w:ascii="Times New Roman" w:hAnsi="Times New Roman" w:cs="Times New Roman"/>
          <w:sz w:val="24"/>
          <w:szCs w:val="24"/>
        </w:rPr>
        <w:t>, Urolith Analysis</w:t>
      </w:r>
      <w:r w:rsidR="00431D06" w:rsidRPr="000E7A3D">
        <w:rPr>
          <w:rFonts w:ascii="Times New Roman" w:hAnsi="Times New Roman" w:cs="Times New Roman"/>
          <w:sz w:val="24"/>
          <w:szCs w:val="24"/>
        </w:rPr>
        <w:t xml:space="preserve"> and Survey - </w:t>
      </w:r>
      <w:r w:rsidR="005E170D" w:rsidRPr="000E7A3D">
        <w:rPr>
          <w:rFonts w:ascii="Times New Roman" w:hAnsi="Times New Roman" w:cs="Times New Roman"/>
          <w:sz w:val="24"/>
          <w:szCs w:val="24"/>
        </w:rPr>
        <w:t xml:space="preserve">All </w:t>
      </w:r>
      <w:r w:rsidR="005E170D" w:rsidRPr="000E7A3D">
        <w:rPr>
          <w:rFonts w:ascii="Times New Roman" w:hAnsi="Times New Roman" w:cs="Times New Roman"/>
          <w:color w:val="1D2228"/>
          <w:sz w:val="24"/>
          <w:szCs w:val="24"/>
        </w:rPr>
        <w:t>animals that die will be necropsied and the urinary tract collected whole: kidneys, ureters, bladder (emptied using a needle and syringe prior to sending), and full length of urethra from bladder through urethral process</w:t>
      </w:r>
      <w:r w:rsidR="00CF26CD" w:rsidRPr="000E7A3D">
        <w:rPr>
          <w:rFonts w:ascii="Times New Roman" w:hAnsi="Times New Roman" w:cs="Times New Roman"/>
          <w:color w:val="1D2228"/>
          <w:sz w:val="24"/>
          <w:szCs w:val="24"/>
        </w:rPr>
        <w:t xml:space="preserve">.  </w:t>
      </w:r>
      <w:r w:rsidR="00CF26CD" w:rsidRPr="000E7A3D">
        <w:rPr>
          <w:rFonts w:ascii="Times New Roman" w:hAnsi="Times New Roman" w:cs="Times New Roman"/>
          <w:sz w:val="24"/>
          <w:szCs w:val="24"/>
        </w:rPr>
        <w:t>All recovered c</w:t>
      </w:r>
      <w:r w:rsidR="005E170D" w:rsidRPr="000E7A3D">
        <w:rPr>
          <w:rFonts w:ascii="Times New Roman" w:hAnsi="Times New Roman" w:cs="Times New Roman"/>
          <w:color w:val="1D2228"/>
          <w:sz w:val="24"/>
          <w:szCs w:val="24"/>
        </w:rPr>
        <w:t xml:space="preserve">alculi and urinary tracts will be sent to </w:t>
      </w:r>
      <w:r w:rsidR="00CF26CD" w:rsidRPr="000E7A3D">
        <w:rPr>
          <w:rFonts w:ascii="Times New Roman" w:hAnsi="Times New Roman" w:cs="Times New Roman"/>
          <w:color w:val="1D2228"/>
          <w:sz w:val="24"/>
          <w:szCs w:val="24"/>
        </w:rPr>
        <w:t xml:space="preserve">Committee member </w:t>
      </w:r>
      <w:r w:rsidR="005E170D" w:rsidRPr="000E7A3D">
        <w:rPr>
          <w:rFonts w:ascii="Times New Roman" w:hAnsi="Times New Roman" w:cs="Times New Roman"/>
          <w:color w:val="1D2228"/>
          <w:sz w:val="24"/>
          <w:szCs w:val="24"/>
        </w:rPr>
        <w:t>M</w:t>
      </w:r>
      <w:r w:rsidR="00CF26CD" w:rsidRPr="000E7A3D">
        <w:rPr>
          <w:rFonts w:ascii="Times New Roman" w:hAnsi="Times New Roman" w:cs="Times New Roman"/>
          <w:color w:val="1D2228"/>
          <w:sz w:val="24"/>
          <w:szCs w:val="24"/>
        </w:rPr>
        <w:t xml:space="preserve">aggie </w:t>
      </w:r>
      <w:r w:rsidR="005E170D" w:rsidRPr="000E7A3D">
        <w:rPr>
          <w:rFonts w:ascii="Times New Roman" w:hAnsi="Times New Roman" w:cs="Times New Roman"/>
          <w:color w:val="1D2228"/>
          <w:sz w:val="24"/>
          <w:szCs w:val="24"/>
        </w:rPr>
        <w:t>Highland</w:t>
      </w:r>
      <w:r w:rsidR="00CF26CD" w:rsidRPr="000E7A3D">
        <w:rPr>
          <w:rFonts w:ascii="Times New Roman" w:hAnsi="Times New Roman" w:cs="Times New Roman"/>
          <w:color w:val="1D2228"/>
          <w:sz w:val="24"/>
          <w:szCs w:val="24"/>
        </w:rPr>
        <w:t xml:space="preserve">, </w:t>
      </w:r>
      <w:r w:rsidR="0063662E" w:rsidRPr="000E7A3D">
        <w:rPr>
          <w:rFonts w:ascii="Times New Roman" w:hAnsi="Times New Roman" w:cs="Times New Roman"/>
          <w:color w:val="1D2228"/>
          <w:sz w:val="24"/>
          <w:szCs w:val="24"/>
        </w:rPr>
        <w:t>DVM</w:t>
      </w:r>
      <w:r w:rsidR="001F0712">
        <w:rPr>
          <w:rFonts w:ascii="Times New Roman" w:hAnsi="Times New Roman" w:cs="Times New Roman"/>
          <w:color w:val="1D2228"/>
          <w:sz w:val="24"/>
          <w:szCs w:val="24"/>
        </w:rPr>
        <w:t xml:space="preserve">, </w:t>
      </w:r>
      <w:r w:rsidR="005E170D" w:rsidRPr="000E7A3D">
        <w:rPr>
          <w:rFonts w:ascii="Times New Roman" w:hAnsi="Times New Roman" w:cs="Times New Roman"/>
          <w:color w:val="1D2228"/>
          <w:sz w:val="24"/>
          <w:szCs w:val="24"/>
        </w:rPr>
        <w:t xml:space="preserve">for submission </w:t>
      </w:r>
      <w:r w:rsidR="00CF26CD" w:rsidRPr="000E7A3D">
        <w:rPr>
          <w:rFonts w:ascii="Times New Roman" w:hAnsi="Times New Roman" w:cs="Times New Roman"/>
          <w:color w:val="1D2228"/>
          <w:sz w:val="24"/>
          <w:szCs w:val="24"/>
        </w:rPr>
        <w:t xml:space="preserve">of calculi </w:t>
      </w:r>
      <w:r w:rsidR="005E170D" w:rsidRPr="000E7A3D">
        <w:rPr>
          <w:rFonts w:ascii="Times New Roman" w:hAnsi="Times New Roman" w:cs="Times New Roman"/>
          <w:color w:val="1D2228"/>
          <w:sz w:val="24"/>
          <w:szCs w:val="24"/>
        </w:rPr>
        <w:t xml:space="preserve">to the </w:t>
      </w:r>
      <w:r w:rsidR="00CF26CD" w:rsidRPr="000E7A3D">
        <w:rPr>
          <w:rFonts w:ascii="Times New Roman" w:hAnsi="Times New Roman" w:cs="Times New Roman"/>
          <w:color w:val="1D2228"/>
          <w:sz w:val="24"/>
          <w:szCs w:val="24"/>
        </w:rPr>
        <w:t>Minnesota Urolith Center (</w:t>
      </w:r>
      <w:r w:rsidR="005E170D" w:rsidRPr="000E7A3D">
        <w:rPr>
          <w:rFonts w:ascii="Times New Roman" w:hAnsi="Times New Roman" w:cs="Times New Roman"/>
          <w:color w:val="1D2228"/>
          <w:sz w:val="24"/>
          <w:szCs w:val="24"/>
        </w:rPr>
        <w:t>University of Minnesota</w:t>
      </w:r>
      <w:r w:rsidR="00CF26CD" w:rsidRPr="000E7A3D">
        <w:rPr>
          <w:rFonts w:ascii="Times New Roman" w:hAnsi="Times New Roman" w:cs="Times New Roman"/>
          <w:color w:val="1D2228"/>
          <w:sz w:val="24"/>
          <w:szCs w:val="24"/>
        </w:rPr>
        <w:t>)</w:t>
      </w:r>
      <w:r w:rsidR="005E170D" w:rsidRPr="000E7A3D">
        <w:rPr>
          <w:rFonts w:ascii="Times New Roman" w:hAnsi="Times New Roman" w:cs="Times New Roman"/>
          <w:color w:val="1D2228"/>
          <w:sz w:val="24"/>
          <w:szCs w:val="24"/>
        </w:rPr>
        <w:t xml:space="preserve"> and for tissue/organ analysis, including histopathologic evaluation to specifically examine urethral inner diameter/circumference</w:t>
      </w:r>
      <w:r w:rsidR="0063662E" w:rsidRPr="000E7A3D">
        <w:rPr>
          <w:rFonts w:ascii="Times New Roman" w:hAnsi="Times New Roman" w:cs="Times New Roman"/>
          <w:color w:val="1D2228"/>
          <w:sz w:val="24"/>
          <w:szCs w:val="24"/>
        </w:rPr>
        <w:t xml:space="preserve">. </w:t>
      </w:r>
    </w:p>
    <w:p w14:paraId="06D03B00" w14:textId="77777777" w:rsidR="00431D06" w:rsidRPr="000E7A3D" w:rsidRDefault="00431D06" w:rsidP="00540F73">
      <w:pPr>
        <w:pStyle w:val="PlainText"/>
        <w:numPr>
          <w:ilvl w:val="0"/>
          <w:numId w:val="1"/>
        </w:numPr>
        <w:ind w:left="360"/>
        <w:jc w:val="both"/>
        <w:rPr>
          <w:rFonts w:ascii="Times New Roman" w:hAnsi="Times New Roman" w:cs="Times New Roman"/>
          <w:sz w:val="24"/>
          <w:szCs w:val="24"/>
        </w:rPr>
      </w:pPr>
      <w:r w:rsidRPr="000E7A3D">
        <w:rPr>
          <w:rFonts w:ascii="Times New Roman" w:hAnsi="Times New Roman" w:cs="Times New Roman"/>
          <w:sz w:val="24"/>
          <w:szCs w:val="24"/>
        </w:rPr>
        <w:t>Conclusion/Post-Study Survey</w:t>
      </w:r>
    </w:p>
    <w:p w14:paraId="7D7435E1" w14:textId="77777777" w:rsidR="00431D06" w:rsidRPr="000E7A3D" w:rsidRDefault="00190DDF" w:rsidP="00540F73">
      <w:pPr>
        <w:pStyle w:val="PlainText"/>
        <w:numPr>
          <w:ilvl w:val="0"/>
          <w:numId w:val="1"/>
        </w:numPr>
        <w:ind w:left="360"/>
        <w:jc w:val="both"/>
        <w:rPr>
          <w:rFonts w:ascii="Times New Roman" w:hAnsi="Times New Roman" w:cs="Times New Roman"/>
          <w:sz w:val="24"/>
          <w:szCs w:val="24"/>
        </w:rPr>
      </w:pPr>
      <w:r w:rsidRPr="000E7A3D">
        <w:rPr>
          <w:rFonts w:ascii="Times New Roman" w:hAnsi="Times New Roman" w:cs="Times New Roman"/>
          <w:sz w:val="24"/>
          <w:szCs w:val="24"/>
        </w:rPr>
        <w:t>Completion Research Report</w:t>
      </w:r>
    </w:p>
    <w:p w14:paraId="6E43F27F" w14:textId="77777777" w:rsidR="005A4165" w:rsidRPr="000E7A3D" w:rsidRDefault="005A4165" w:rsidP="00540F73">
      <w:pPr>
        <w:pStyle w:val="PlainText"/>
        <w:numPr>
          <w:ilvl w:val="0"/>
          <w:numId w:val="1"/>
        </w:numPr>
        <w:ind w:left="360"/>
        <w:jc w:val="both"/>
        <w:rPr>
          <w:rFonts w:ascii="Times New Roman" w:hAnsi="Times New Roman" w:cs="Times New Roman"/>
          <w:sz w:val="24"/>
          <w:szCs w:val="24"/>
        </w:rPr>
      </w:pPr>
      <w:r w:rsidRPr="000E7A3D">
        <w:rPr>
          <w:rFonts w:ascii="Times New Roman" w:hAnsi="Times New Roman" w:cs="Times New Roman"/>
          <w:sz w:val="24"/>
          <w:szCs w:val="24"/>
        </w:rPr>
        <w:t>Submission of Research Report for publication and peer review</w:t>
      </w:r>
    </w:p>
    <w:sectPr w:rsidR="005A4165" w:rsidRPr="000E7A3D" w:rsidSect="00540F73">
      <w:footerReference w:type="default" r:id="rId9"/>
      <w:pgSz w:w="15840" w:h="12240" w:orient="landscape"/>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15BC" w14:textId="77777777" w:rsidR="009A7721" w:rsidRDefault="009A7721" w:rsidP="00C03FFB">
      <w:pPr>
        <w:spacing w:after="0"/>
      </w:pPr>
      <w:r>
        <w:separator/>
      </w:r>
    </w:p>
  </w:endnote>
  <w:endnote w:type="continuationSeparator" w:id="0">
    <w:p w14:paraId="7D0CE3EC" w14:textId="77777777" w:rsidR="009A7721" w:rsidRDefault="009A7721" w:rsidP="00C03F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6F92" w14:textId="77777777" w:rsidR="00F2393B" w:rsidRPr="00D67D75" w:rsidRDefault="00F2393B" w:rsidP="00D67D75">
    <w:pPr>
      <w:tabs>
        <w:tab w:val="right" w:pos="12780"/>
      </w:tabs>
      <w:spacing w:before="200" w:after="0"/>
      <w:rPr>
        <w:rFonts w:ascii="Times New Roman" w:hAnsi="Times New Roman" w:cs="Times New Roman"/>
        <w:sz w:val="16"/>
        <w:szCs w:val="16"/>
      </w:rPr>
    </w:pPr>
    <w:r w:rsidRPr="00D67D75">
      <w:rPr>
        <w:rFonts w:ascii="Times New Roman" w:hAnsi="Times New Roman" w:cs="Times New Roman"/>
        <w:sz w:val="16"/>
        <w:szCs w:val="16"/>
      </w:rPr>
      <w:t>Citizen Science Epidemiological Research Study of Urinary Calculi in Wethered Goats</w:t>
    </w:r>
    <w:r w:rsidR="00D67D75" w:rsidRPr="00D67D75">
      <w:rPr>
        <w:rFonts w:ascii="Times New Roman" w:hAnsi="Times New Roman" w:cs="Times New Roman"/>
        <w:sz w:val="16"/>
        <w:szCs w:val="16"/>
      </w:rPr>
      <w:tab/>
    </w:r>
    <w:sdt>
      <w:sdtPr>
        <w:rPr>
          <w:rFonts w:ascii="Times New Roman" w:hAnsi="Times New Roman" w:cs="Times New Roman"/>
          <w:sz w:val="16"/>
          <w:szCs w:val="16"/>
        </w:rPr>
        <w:id w:val="250395305"/>
        <w:docPartObj>
          <w:docPartGallery w:val="Page Numbers (Top of Page)"/>
          <w:docPartUnique/>
        </w:docPartObj>
      </w:sdtPr>
      <w:sdtEndPr/>
      <w:sdtContent>
        <w:r w:rsidR="00D67D75" w:rsidRPr="00D67D75">
          <w:rPr>
            <w:rFonts w:ascii="Times New Roman" w:hAnsi="Times New Roman" w:cs="Times New Roman"/>
            <w:sz w:val="16"/>
            <w:szCs w:val="16"/>
          </w:rPr>
          <w:t xml:space="preserve">Page </w:t>
        </w:r>
        <w:r w:rsidR="00D67D75" w:rsidRPr="00D67D75">
          <w:rPr>
            <w:rFonts w:ascii="Times New Roman" w:hAnsi="Times New Roman" w:cs="Times New Roman"/>
            <w:sz w:val="16"/>
            <w:szCs w:val="16"/>
          </w:rPr>
          <w:fldChar w:fldCharType="begin"/>
        </w:r>
        <w:r w:rsidR="00D67D75" w:rsidRPr="00D67D75">
          <w:rPr>
            <w:rFonts w:ascii="Times New Roman" w:hAnsi="Times New Roman" w:cs="Times New Roman"/>
            <w:sz w:val="16"/>
            <w:szCs w:val="16"/>
          </w:rPr>
          <w:instrText xml:space="preserve"> PAGE </w:instrText>
        </w:r>
        <w:r w:rsidR="00D67D75" w:rsidRPr="00D67D75">
          <w:rPr>
            <w:rFonts w:ascii="Times New Roman" w:hAnsi="Times New Roman" w:cs="Times New Roman"/>
            <w:sz w:val="16"/>
            <w:szCs w:val="16"/>
          </w:rPr>
          <w:fldChar w:fldCharType="separate"/>
        </w:r>
        <w:r w:rsidR="006779F9">
          <w:rPr>
            <w:rFonts w:ascii="Times New Roman" w:hAnsi="Times New Roman" w:cs="Times New Roman"/>
            <w:noProof/>
            <w:sz w:val="16"/>
            <w:szCs w:val="16"/>
          </w:rPr>
          <w:t>2</w:t>
        </w:r>
        <w:r w:rsidR="00D67D75" w:rsidRPr="00D67D75">
          <w:rPr>
            <w:rFonts w:ascii="Times New Roman" w:hAnsi="Times New Roman" w:cs="Times New Roman"/>
            <w:sz w:val="16"/>
            <w:szCs w:val="16"/>
          </w:rPr>
          <w:fldChar w:fldCharType="end"/>
        </w:r>
        <w:r w:rsidR="00D67D75" w:rsidRPr="00D67D75">
          <w:rPr>
            <w:rFonts w:ascii="Times New Roman" w:hAnsi="Times New Roman" w:cs="Times New Roman"/>
            <w:sz w:val="16"/>
            <w:szCs w:val="16"/>
          </w:rPr>
          <w:t xml:space="preserve"> of </w:t>
        </w:r>
        <w:r w:rsidR="00D67D75" w:rsidRPr="00D67D75">
          <w:rPr>
            <w:rFonts w:ascii="Times New Roman" w:hAnsi="Times New Roman" w:cs="Times New Roman"/>
            <w:sz w:val="16"/>
            <w:szCs w:val="16"/>
          </w:rPr>
          <w:fldChar w:fldCharType="begin"/>
        </w:r>
        <w:r w:rsidR="00D67D75" w:rsidRPr="00D67D75">
          <w:rPr>
            <w:rFonts w:ascii="Times New Roman" w:hAnsi="Times New Roman" w:cs="Times New Roman"/>
            <w:sz w:val="16"/>
            <w:szCs w:val="16"/>
          </w:rPr>
          <w:instrText xml:space="preserve"> NUMPAGES  </w:instrText>
        </w:r>
        <w:r w:rsidR="00D67D75" w:rsidRPr="00D67D75">
          <w:rPr>
            <w:rFonts w:ascii="Times New Roman" w:hAnsi="Times New Roman" w:cs="Times New Roman"/>
            <w:sz w:val="16"/>
            <w:szCs w:val="16"/>
          </w:rPr>
          <w:fldChar w:fldCharType="separate"/>
        </w:r>
        <w:r w:rsidR="006779F9">
          <w:rPr>
            <w:rFonts w:ascii="Times New Roman" w:hAnsi="Times New Roman" w:cs="Times New Roman"/>
            <w:noProof/>
            <w:sz w:val="16"/>
            <w:szCs w:val="16"/>
          </w:rPr>
          <w:t>6</w:t>
        </w:r>
        <w:r w:rsidR="00D67D75" w:rsidRPr="00D67D75">
          <w:rPr>
            <w:rFonts w:ascii="Times New Roman" w:hAnsi="Times New Roman" w:cs="Times New Roman"/>
            <w:sz w:val="16"/>
            <w:szCs w:val="16"/>
          </w:rPr>
          <w:fldChar w:fldCharType="end"/>
        </w:r>
      </w:sdtContent>
    </w:sdt>
  </w:p>
  <w:p w14:paraId="0168F142" w14:textId="27A3CA09" w:rsidR="00F2393B" w:rsidRPr="008B478E" w:rsidRDefault="00F2393B" w:rsidP="00D67D75">
    <w:pPr>
      <w:tabs>
        <w:tab w:val="right" w:pos="12780"/>
      </w:tabs>
      <w:spacing w:after="0"/>
      <w:rPr>
        <w:rFonts w:ascii="Times New Roman" w:hAnsi="Times New Roman" w:cs="Times New Roman"/>
        <w:sz w:val="20"/>
        <w:szCs w:val="20"/>
      </w:rPr>
    </w:pPr>
    <w:r w:rsidRPr="00D67D75">
      <w:rPr>
        <w:rFonts w:ascii="Times New Roman" w:hAnsi="Times New Roman" w:cs="Times New Roman"/>
        <w:sz w:val="16"/>
        <w:szCs w:val="16"/>
      </w:rPr>
      <w:t>By The North American Packgoat Associat</w:t>
    </w:r>
    <w:r w:rsidR="00D67D75" w:rsidRPr="00D67D75">
      <w:rPr>
        <w:rFonts w:ascii="Times New Roman" w:hAnsi="Times New Roman" w:cs="Times New Roman"/>
        <w:sz w:val="16"/>
        <w:szCs w:val="16"/>
      </w:rPr>
      <w:t>i</w:t>
    </w:r>
    <w:r w:rsidRPr="00D67D75">
      <w:rPr>
        <w:rFonts w:ascii="Times New Roman" w:hAnsi="Times New Roman" w:cs="Times New Roman"/>
        <w:sz w:val="16"/>
        <w:szCs w:val="16"/>
      </w:rPr>
      <w:t>on</w:t>
    </w:r>
    <w:r w:rsidR="00D67D75">
      <w:rPr>
        <w:rFonts w:ascii="Times New Roman" w:hAnsi="Times New Roman" w:cs="Times New Roman"/>
        <w:sz w:val="20"/>
        <w:szCs w:val="20"/>
      </w:rPr>
      <w:tab/>
    </w:r>
    <w:r w:rsidR="00D67D75" w:rsidRPr="00D67D75">
      <w:rPr>
        <w:rFonts w:ascii="Times New Roman" w:hAnsi="Times New Roman" w:cs="Times New Roman"/>
        <w:sz w:val="14"/>
        <w:szCs w:val="14"/>
      </w:rPr>
      <w:t>Version 12.13.21</w:t>
    </w:r>
    <w:r w:rsidR="00B71DB5">
      <w:rPr>
        <w:rFonts w:ascii="Times New Roman" w:hAnsi="Times New Roman" w:cs="Times New Roman"/>
        <w:sz w:val="14"/>
        <w:szCs w:val="14"/>
      </w:rPr>
      <w:t>, Rev. 12.14.21</w:t>
    </w:r>
    <w:r w:rsidR="00054DF2">
      <w:rPr>
        <w:rFonts w:ascii="Times New Roman" w:hAnsi="Times New Roman" w:cs="Times New Roman"/>
        <w:sz w:val="14"/>
        <w:szCs w:val="14"/>
      </w:rPr>
      <w:t>, Rev. 01.</w:t>
    </w:r>
    <w:r w:rsidR="002E18AF">
      <w:rPr>
        <w:rFonts w:ascii="Times New Roman" w:hAnsi="Times New Roman" w:cs="Times New Roman"/>
        <w:sz w:val="14"/>
        <w:szCs w:val="14"/>
      </w:rPr>
      <w:t>08</w:t>
    </w:r>
    <w:r w:rsidR="00054DF2">
      <w:rPr>
        <w:rFonts w:ascii="Times New Roman" w:hAnsi="Times New Roman" w:cs="Times New Roman"/>
        <w:sz w:val="14"/>
        <w:szCs w:val="14"/>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D26C" w14:textId="77777777" w:rsidR="009A7721" w:rsidRDefault="009A7721" w:rsidP="00C03FFB">
      <w:pPr>
        <w:spacing w:after="0"/>
      </w:pPr>
      <w:r>
        <w:separator/>
      </w:r>
    </w:p>
  </w:footnote>
  <w:footnote w:type="continuationSeparator" w:id="0">
    <w:p w14:paraId="6546B8A1" w14:textId="77777777" w:rsidR="009A7721" w:rsidRDefault="009A7721" w:rsidP="00C03FFB">
      <w:pPr>
        <w:spacing w:after="0"/>
      </w:pPr>
      <w:r>
        <w:continuationSeparator/>
      </w:r>
    </w:p>
  </w:footnote>
  <w:footnote w:id="1">
    <w:p w14:paraId="561FF679" w14:textId="77777777" w:rsidR="00461605" w:rsidRPr="001549A8" w:rsidRDefault="00C03FFB" w:rsidP="00461605">
      <w:pPr>
        <w:pStyle w:val="FootnoteText"/>
        <w:jc w:val="both"/>
        <w:rPr>
          <w:rFonts w:ascii="Times New Roman" w:hAnsi="Times New Roman" w:cs="Times New Roman"/>
        </w:rPr>
      </w:pPr>
      <w:r w:rsidRPr="001549A8">
        <w:rPr>
          <w:rStyle w:val="FootnoteReference"/>
          <w:rFonts w:ascii="Times New Roman" w:hAnsi="Times New Roman" w:cs="Times New Roman"/>
        </w:rPr>
        <w:footnoteRef/>
      </w:r>
      <w:r w:rsidRPr="001549A8">
        <w:rPr>
          <w:rFonts w:ascii="Times New Roman" w:hAnsi="Times New Roman" w:cs="Times New Roman"/>
        </w:rPr>
        <w:t xml:space="preserve"> </w:t>
      </w:r>
      <w:r w:rsidR="00461605" w:rsidRPr="00461605">
        <w:rPr>
          <w:rFonts w:ascii="Times New Roman" w:hAnsi="Times New Roman" w:cs="Times New Roman"/>
          <w:color w:val="202122"/>
          <w:shd w:val="clear" w:color="auto" w:fill="FFFFFF"/>
        </w:rPr>
        <w:t>The terms </w:t>
      </w:r>
      <w:r w:rsidR="00461605" w:rsidRPr="00461605">
        <w:rPr>
          <w:rFonts w:ascii="Times New Roman" w:hAnsi="Times New Roman" w:cs="Times New Roman"/>
          <w:i/>
          <w:iCs/>
          <w:color w:val="202122"/>
          <w:shd w:val="clear" w:color="auto" w:fill="FFFFFF"/>
        </w:rPr>
        <w:t>citizen science</w:t>
      </w:r>
      <w:r w:rsidR="00461605" w:rsidRPr="00461605">
        <w:rPr>
          <w:rFonts w:ascii="Times New Roman" w:hAnsi="Times New Roman" w:cs="Times New Roman"/>
          <w:color w:val="202122"/>
          <w:shd w:val="clear" w:color="auto" w:fill="FFFFFF"/>
        </w:rPr>
        <w:t> and </w:t>
      </w:r>
      <w:r w:rsidR="00461605" w:rsidRPr="00461605">
        <w:rPr>
          <w:rFonts w:ascii="Times New Roman" w:hAnsi="Times New Roman" w:cs="Times New Roman"/>
          <w:i/>
          <w:iCs/>
          <w:color w:val="202122"/>
          <w:shd w:val="clear" w:color="auto" w:fill="FFFFFF"/>
        </w:rPr>
        <w:t>citizen scientists</w:t>
      </w:r>
      <w:r w:rsidR="00461605" w:rsidRPr="00461605">
        <w:rPr>
          <w:rFonts w:ascii="Times New Roman" w:hAnsi="Times New Roman" w:cs="Times New Roman"/>
          <w:color w:val="202122"/>
          <w:shd w:val="clear" w:color="auto" w:fill="FFFFFF"/>
        </w:rPr>
        <w:t> entered the </w:t>
      </w:r>
      <w:hyperlink r:id="rId1" w:tooltip="Oxford English Dictionary" w:history="1">
        <w:r w:rsidR="00461605" w:rsidRPr="00461605">
          <w:rPr>
            <w:rStyle w:val="Hyperlink"/>
            <w:rFonts w:ascii="Times New Roman" w:hAnsi="Times New Roman" w:cs="Times New Roman"/>
            <w:color w:val="0645AD"/>
            <w:shd w:val="clear" w:color="auto" w:fill="FFFFFF"/>
          </w:rPr>
          <w:t>Oxford English Dictionary</w:t>
        </w:r>
      </w:hyperlink>
      <w:r w:rsidR="00461605" w:rsidRPr="00461605">
        <w:rPr>
          <w:rFonts w:ascii="Times New Roman" w:hAnsi="Times New Roman" w:cs="Times New Roman"/>
          <w:color w:val="202122"/>
          <w:shd w:val="clear" w:color="auto" w:fill="FFFFFF"/>
        </w:rPr>
        <w:t> (</w:t>
      </w:r>
      <w:r w:rsidR="00461605" w:rsidRPr="00461605">
        <w:rPr>
          <w:rFonts w:ascii="Times New Roman" w:hAnsi="Times New Roman" w:cs="Times New Roman"/>
          <w:i/>
          <w:iCs/>
          <w:color w:val="202122"/>
          <w:shd w:val="clear" w:color="auto" w:fill="FFFFFF"/>
        </w:rPr>
        <w:t>OED</w:t>
      </w:r>
      <w:r w:rsidR="00461605" w:rsidRPr="00461605">
        <w:rPr>
          <w:rFonts w:ascii="Times New Roman" w:hAnsi="Times New Roman" w:cs="Times New Roman"/>
          <w:color w:val="202122"/>
          <w:shd w:val="clear" w:color="auto" w:fill="FFFFFF"/>
        </w:rPr>
        <w:t>) in June 2014.</w:t>
      </w:r>
      <w:r w:rsidR="00461605">
        <w:rPr>
          <w:rFonts w:ascii="Times New Roman" w:hAnsi="Times New Roman" w:cs="Times New Roman"/>
          <w:color w:val="202122"/>
          <w:shd w:val="clear" w:color="auto" w:fill="FFFFFF"/>
        </w:rPr>
        <w:t xml:space="preserve"> “</w:t>
      </w:r>
      <w:r w:rsidR="00461605" w:rsidRPr="00461605">
        <w:rPr>
          <w:rFonts w:ascii="Times New Roman" w:hAnsi="Times New Roman" w:cs="Times New Roman"/>
          <w:color w:val="202122"/>
          <w:shd w:val="clear" w:color="auto" w:fill="FFFFFF"/>
        </w:rPr>
        <w:t>Citizen science" is defined as "scientific work undertaken by members of the general public, often in collaboration with or under the direction of professional scientists and scientific institutions". "Citizen scientist" is defined as: (a) "a scientist whose work is characterized by a sense of responsibility to serve the best interests of the wider community (now rare)"; or (b) "a member of the general public who engages in scientific work, often in collaboration with or under the direction of professional scientists and scientific institutions; an amateur scientist</w:t>
      </w:r>
      <w:r w:rsidR="00461605">
        <w:rPr>
          <w:rFonts w:ascii="Times New Roman" w:hAnsi="Times New Roman" w:cs="Times New Roman"/>
          <w:color w:val="202122"/>
          <w:shd w:val="clear" w:color="auto" w:fill="FFFFFF"/>
        </w:rPr>
        <w:t>.</w:t>
      </w:r>
      <w:r w:rsidR="00461605" w:rsidRPr="00461605">
        <w:rPr>
          <w:rFonts w:ascii="Times New Roman" w:hAnsi="Times New Roman" w:cs="Times New Roman"/>
          <w:color w:val="202122"/>
          <w:shd w:val="clear" w:color="auto" w:fill="FFFFFF"/>
        </w:rPr>
        <w:t>"</w:t>
      </w:r>
      <w:r w:rsidR="00461605">
        <w:rPr>
          <w:rFonts w:ascii="Times New Roman" w:hAnsi="Times New Roman" w:cs="Times New Roman"/>
          <w:color w:val="202122"/>
          <w:shd w:val="clear" w:color="auto" w:fill="FFFFFF"/>
        </w:rPr>
        <w:t xml:space="preserve">  From Wikipedia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4E30"/>
    <w:multiLevelType w:val="hybridMultilevel"/>
    <w:tmpl w:val="39B8B4C4"/>
    <w:lvl w:ilvl="0" w:tplc="9AB82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0D2FE8"/>
    <w:multiLevelType w:val="multilevel"/>
    <w:tmpl w:val="465CC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A02A25"/>
    <w:multiLevelType w:val="hybridMultilevel"/>
    <w:tmpl w:val="5F9422A6"/>
    <w:lvl w:ilvl="0" w:tplc="AB126378">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2BE01DB"/>
    <w:multiLevelType w:val="hybridMultilevel"/>
    <w:tmpl w:val="DD94EF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F161F7"/>
    <w:multiLevelType w:val="hybridMultilevel"/>
    <w:tmpl w:val="139CBC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DC503B"/>
    <w:multiLevelType w:val="hybridMultilevel"/>
    <w:tmpl w:val="4462CDC0"/>
    <w:lvl w:ilvl="0" w:tplc="E356020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55CB3"/>
    <w:multiLevelType w:val="hybridMultilevel"/>
    <w:tmpl w:val="81F05F14"/>
    <w:lvl w:ilvl="0" w:tplc="9FF4048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647108">
    <w:abstractNumId w:val="3"/>
  </w:num>
  <w:num w:numId="2" w16cid:durableId="649291527">
    <w:abstractNumId w:val="0"/>
  </w:num>
  <w:num w:numId="3" w16cid:durableId="249507122">
    <w:abstractNumId w:val="4"/>
  </w:num>
  <w:num w:numId="4" w16cid:durableId="72362199">
    <w:abstractNumId w:val="2"/>
  </w:num>
  <w:num w:numId="5" w16cid:durableId="243997292">
    <w:abstractNumId w:val="1"/>
  </w:num>
  <w:num w:numId="6" w16cid:durableId="8530899">
    <w:abstractNumId w:val="6"/>
  </w:num>
  <w:num w:numId="7" w16cid:durableId="14671589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FB"/>
    <w:rsid w:val="00012A23"/>
    <w:rsid w:val="000452FF"/>
    <w:rsid w:val="00054DF2"/>
    <w:rsid w:val="0005576B"/>
    <w:rsid w:val="00081FF1"/>
    <w:rsid w:val="000907FB"/>
    <w:rsid w:val="000D64D7"/>
    <w:rsid w:val="000E3EE2"/>
    <w:rsid w:val="000E7A3D"/>
    <w:rsid w:val="000F1056"/>
    <w:rsid w:val="001549A8"/>
    <w:rsid w:val="00166CBD"/>
    <w:rsid w:val="001847A3"/>
    <w:rsid w:val="00184D85"/>
    <w:rsid w:val="0018786A"/>
    <w:rsid w:val="00190DDF"/>
    <w:rsid w:val="001F0712"/>
    <w:rsid w:val="001F46B8"/>
    <w:rsid w:val="001F4730"/>
    <w:rsid w:val="00223F82"/>
    <w:rsid w:val="002267FC"/>
    <w:rsid w:val="00234F3E"/>
    <w:rsid w:val="00250BED"/>
    <w:rsid w:val="00282144"/>
    <w:rsid w:val="00292830"/>
    <w:rsid w:val="002B3F9E"/>
    <w:rsid w:val="002E18AF"/>
    <w:rsid w:val="00307A51"/>
    <w:rsid w:val="003263C0"/>
    <w:rsid w:val="00360714"/>
    <w:rsid w:val="003611D0"/>
    <w:rsid w:val="003A4BEA"/>
    <w:rsid w:val="003B4692"/>
    <w:rsid w:val="003C583F"/>
    <w:rsid w:val="00431D06"/>
    <w:rsid w:val="004327F0"/>
    <w:rsid w:val="00461605"/>
    <w:rsid w:val="00462BE6"/>
    <w:rsid w:val="004B7249"/>
    <w:rsid w:val="004C0ECF"/>
    <w:rsid w:val="004C4F37"/>
    <w:rsid w:val="005066DC"/>
    <w:rsid w:val="00506EA6"/>
    <w:rsid w:val="00540F73"/>
    <w:rsid w:val="005A4165"/>
    <w:rsid w:val="005A712D"/>
    <w:rsid w:val="005E170D"/>
    <w:rsid w:val="005E741E"/>
    <w:rsid w:val="0063662E"/>
    <w:rsid w:val="00646207"/>
    <w:rsid w:val="00653EFE"/>
    <w:rsid w:val="00664D53"/>
    <w:rsid w:val="006779F9"/>
    <w:rsid w:val="006A0234"/>
    <w:rsid w:val="006A417F"/>
    <w:rsid w:val="006D0B1E"/>
    <w:rsid w:val="006F0EB7"/>
    <w:rsid w:val="00706727"/>
    <w:rsid w:val="00716291"/>
    <w:rsid w:val="0075241B"/>
    <w:rsid w:val="00781B78"/>
    <w:rsid w:val="007916B7"/>
    <w:rsid w:val="00796DB5"/>
    <w:rsid w:val="007A0C35"/>
    <w:rsid w:val="007E09B3"/>
    <w:rsid w:val="007F1D11"/>
    <w:rsid w:val="00806AF8"/>
    <w:rsid w:val="00807C9C"/>
    <w:rsid w:val="00852807"/>
    <w:rsid w:val="0087445D"/>
    <w:rsid w:val="00874F67"/>
    <w:rsid w:val="00893350"/>
    <w:rsid w:val="008962F8"/>
    <w:rsid w:val="008B3A0E"/>
    <w:rsid w:val="008B478E"/>
    <w:rsid w:val="008E2616"/>
    <w:rsid w:val="0092741E"/>
    <w:rsid w:val="00960251"/>
    <w:rsid w:val="0096798C"/>
    <w:rsid w:val="00974F7E"/>
    <w:rsid w:val="0098317E"/>
    <w:rsid w:val="00984FC4"/>
    <w:rsid w:val="00986D00"/>
    <w:rsid w:val="009A21CA"/>
    <w:rsid w:val="009A7721"/>
    <w:rsid w:val="009B6B42"/>
    <w:rsid w:val="009C480F"/>
    <w:rsid w:val="009C6B31"/>
    <w:rsid w:val="00A0283D"/>
    <w:rsid w:val="00A11BA4"/>
    <w:rsid w:val="00A457B7"/>
    <w:rsid w:val="00A6393C"/>
    <w:rsid w:val="00A66091"/>
    <w:rsid w:val="00AC2DF9"/>
    <w:rsid w:val="00AC5C29"/>
    <w:rsid w:val="00AD03D3"/>
    <w:rsid w:val="00AD23C3"/>
    <w:rsid w:val="00AD2B52"/>
    <w:rsid w:val="00B11F4E"/>
    <w:rsid w:val="00B4770F"/>
    <w:rsid w:val="00B515B0"/>
    <w:rsid w:val="00B53BA2"/>
    <w:rsid w:val="00B71DB5"/>
    <w:rsid w:val="00BA1910"/>
    <w:rsid w:val="00BA225B"/>
    <w:rsid w:val="00BB5AFB"/>
    <w:rsid w:val="00BE5CC5"/>
    <w:rsid w:val="00C03FFB"/>
    <w:rsid w:val="00C072E0"/>
    <w:rsid w:val="00C15DCD"/>
    <w:rsid w:val="00C261B2"/>
    <w:rsid w:val="00C31E03"/>
    <w:rsid w:val="00C6052F"/>
    <w:rsid w:val="00CA26A1"/>
    <w:rsid w:val="00CC6C93"/>
    <w:rsid w:val="00CF26CD"/>
    <w:rsid w:val="00D1758C"/>
    <w:rsid w:val="00D447A0"/>
    <w:rsid w:val="00D67B1B"/>
    <w:rsid w:val="00D67D75"/>
    <w:rsid w:val="00D93738"/>
    <w:rsid w:val="00DA6559"/>
    <w:rsid w:val="00DE3BD6"/>
    <w:rsid w:val="00DF6B85"/>
    <w:rsid w:val="00E45A3D"/>
    <w:rsid w:val="00E4699D"/>
    <w:rsid w:val="00E64824"/>
    <w:rsid w:val="00E75D2F"/>
    <w:rsid w:val="00E773C0"/>
    <w:rsid w:val="00E900EA"/>
    <w:rsid w:val="00E9037D"/>
    <w:rsid w:val="00E9267D"/>
    <w:rsid w:val="00E96C4A"/>
    <w:rsid w:val="00EC0AE2"/>
    <w:rsid w:val="00EC4EB0"/>
    <w:rsid w:val="00F039C5"/>
    <w:rsid w:val="00F03A23"/>
    <w:rsid w:val="00F2393B"/>
    <w:rsid w:val="00F4206F"/>
    <w:rsid w:val="00F650F9"/>
    <w:rsid w:val="00F70004"/>
    <w:rsid w:val="00F94C85"/>
    <w:rsid w:val="00FA2013"/>
    <w:rsid w:val="00FD39D4"/>
    <w:rsid w:val="00FE1A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3930"/>
  <w15:docId w15:val="{02571D54-0911-4D0C-B76B-7E71406D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FFB"/>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03FFB"/>
    <w:pPr>
      <w:spacing w:after="0"/>
    </w:pPr>
    <w:rPr>
      <w:rFonts w:ascii="Calibri" w:hAnsi="Calibri"/>
      <w:szCs w:val="21"/>
    </w:rPr>
  </w:style>
  <w:style w:type="character" w:customStyle="1" w:styleId="PlainTextChar">
    <w:name w:val="Plain Text Char"/>
    <w:basedOn w:val="DefaultParagraphFont"/>
    <w:link w:val="PlainText"/>
    <w:uiPriority w:val="99"/>
    <w:rsid w:val="00C03FFB"/>
    <w:rPr>
      <w:rFonts w:ascii="Calibri" w:hAnsi="Calibri"/>
      <w:szCs w:val="21"/>
    </w:rPr>
  </w:style>
  <w:style w:type="paragraph" w:styleId="FootnoteText">
    <w:name w:val="footnote text"/>
    <w:basedOn w:val="Normal"/>
    <w:link w:val="FootnoteTextChar"/>
    <w:uiPriority w:val="99"/>
    <w:semiHidden/>
    <w:unhideWhenUsed/>
    <w:rsid w:val="00C03FFB"/>
    <w:pPr>
      <w:spacing w:after="0"/>
    </w:pPr>
    <w:rPr>
      <w:sz w:val="20"/>
      <w:szCs w:val="20"/>
    </w:rPr>
  </w:style>
  <w:style w:type="character" w:customStyle="1" w:styleId="FootnoteTextChar">
    <w:name w:val="Footnote Text Char"/>
    <w:basedOn w:val="DefaultParagraphFont"/>
    <w:link w:val="FootnoteText"/>
    <w:uiPriority w:val="99"/>
    <w:semiHidden/>
    <w:rsid w:val="00C03FFB"/>
    <w:rPr>
      <w:sz w:val="20"/>
      <w:szCs w:val="20"/>
    </w:rPr>
  </w:style>
  <w:style w:type="character" w:styleId="FootnoteReference">
    <w:name w:val="footnote reference"/>
    <w:basedOn w:val="DefaultParagraphFont"/>
    <w:uiPriority w:val="99"/>
    <w:semiHidden/>
    <w:unhideWhenUsed/>
    <w:rsid w:val="00C03FFB"/>
    <w:rPr>
      <w:vertAlign w:val="superscript"/>
    </w:rPr>
  </w:style>
  <w:style w:type="character" w:styleId="Hyperlink">
    <w:name w:val="Hyperlink"/>
    <w:basedOn w:val="DefaultParagraphFont"/>
    <w:uiPriority w:val="99"/>
    <w:unhideWhenUsed/>
    <w:rsid w:val="00461605"/>
    <w:rPr>
      <w:color w:val="0000FF"/>
      <w:u w:val="single"/>
    </w:rPr>
  </w:style>
  <w:style w:type="paragraph" w:customStyle="1" w:styleId="yiv2359432044msonormal">
    <w:name w:val="yiv2359432044msonormal"/>
    <w:basedOn w:val="Normal"/>
    <w:rsid w:val="0075241B"/>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74F7E"/>
    <w:rPr>
      <w:color w:val="605E5C"/>
      <w:shd w:val="clear" w:color="auto" w:fill="E1DFDD"/>
    </w:rPr>
  </w:style>
  <w:style w:type="paragraph" w:styleId="ListParagraph">
    <w:name w:val="List Paragraph"/>
    <w:basedOn w:val="Normal"/>
    <w:uiPriority w:val="34"/>
    <w:qFormat/>
    <w:rsid w:val="00081FF1"/>
    <w:pPr>
      <w:ind w:left="720"/>
      <w:contextualSpacing/>
    </w:pPr>
  </w:style>
  <w:style w:type="table" w:styleId="TableGrid">
    <w:name w:val="Table Grid"/>
    <w:basedOn w:val="TableNormal"/>
    <w:uiPriority w:val="39"/>
    <w:unhideWhenUsed/>
    <w:rsid w:val="0023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001977486msolistparagraph">
    <w:name w:val="yiv8001977486msolistparagraph"/>
    <w:basedOn w:val="Normal"/>
    <w:rsid w:val="005E170D"/>
    <w:pPr>
      <w:spacing w:before="100" w:beforeAutospacing="1" w:after="100" w:afterAutospacing="1"/>
    </w:pPr>
    <w:rPr>
      <w:rFonts w:ascii="Times New Roman" w:eastAsia="Times New Roman" w:hAnsi="Times New Roman" w:cs="Times New Roman"/>
      <w:sz w:val="24"/>
      <w:szCs w:val="24"/>
    </w:rPr>
  </w:style>
  <w:style w:type="paragraph" w:customStyle="1" w:styleId="yiv8001977486msonormal">
    <w:name w:val="yiv8001977486msonormal"/>
    <w:basedOn w:val="Normal"/>
    <w:rsid w:val="005E170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20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013"/>
    <w:rPr>
      <w:rFonts w:ascii="Tahoma" w:hAnsi="Tahoma" w:cs="Tahoma"/>
      <w:sz w:val="16"/>
      <w:szCs w:val="16"/>
    </w:rPr>
  </w:style>
  <w:style w:type="paragraph" w:styleId="Header">
    <w:name w:val="header"/>
    <w:basedOn w:val="Normal"/>
    <w:link w:val="HeaderChar"/>
    <w:uiPriority w:val="99"/>
    <w:unhideWhenUsed/>
    <w:rsid w:val="00F2393B"/>
    <w:pPr>
      <w:tabs>
        <w:tab w:val="center" w:pos="4680"/>
        <w:tab w:val="right" w:pos="9360"/>
      </w:tabs>
      <w:spacing w:after="0"/>
    </w:pPr>
  </w:style>
  <w:style w:type="character" w:customStyle="1" w:styleId="HeaderChar">
    <w:name w:val="Header Char"/>
    <w:basedOn w:val="DefaultParagraphFont"/>
    <w:link w:val="Header"/>
    <w:uiPriority w:val="99"/>
    <w:rsid w:val="00F2393B"/>
  </w:style>
  <w:style w:type="paragraph" w:styleId="Footer">
    <w:name w:val="footer"/>
    <w:basedOn w:val="Normal"/>
    <w:link w:val="FooterChar"/>
    <w:uiPriority w:val="99"/>
    <w:unhideWhenUsed/>
    <w:rsid w:val="00F2393B"/>
    <w:pPr>
      <w:tabs>
        <w:tab w:val="center" w:pos="4680"/>
        <w:tab w:val="right" w:pos="9360"/>
      </w:tabs>
      <w:spacing w:after="0"/>
    </w:pPr>
  </w:style>
  <w:style w:type="character" w:customStyle="1" w:styleId="FooterChar">
    <w:name w:val="Footer Char"/>
    <w:basedOn w:val="DefaultParagraphFont"/>
    <w:link w:val="Footer"/>
    <w:uiPriority w:val="99"/>
    <w:rsid w:val="00F23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6675">
      <w:bodyDiv w:val="1"/>
      <w:marLeft w:val="0"/>
      <w:marRight w:val="0"/>
      <w:marTop w:val="0"/>
      <w:marBottom w:val="0"/>
      <w:divBdr>
        <w:top w:val="none" w:sz="0" w:space="0" w:color="auto"/>
        <w:left w:val="none" w:sz="0" w:space="0" w:color="auto"/>
        <w:bottom w:val="none" w:sz="0" w:space="0" w:color="auto"/>
        <w:right w:val="none" w:sz="0" w:space="0" w:color="auto"/>
      </w:divBdr>
    </w:div>
    <w:div w:id="222059544">
      <w:bodyDiv w:val="1"/>
      <w:marLeft w:val="0"/>
      <w:marRight w:val="0"/>
      <w:marTop w:val="0"/>
      <w:marBottom w:val="0"/>
      <w:divBdr>
        <w:top w:val="none" w:sz="0" w:space="0" w:color="auto"/>
        <w:left w:val="none" w:sz="0" w:space="0" w:color="auto"/>
        <w:bottom w:val="none" w:sz="0" w:space="0" w:color="auto"/>
        <w:right w:val="none" w:sz="0" w:space="0" w:color="auto"/>
      </w:divBdr>
    </w:div>
    <w:div w:id="97584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EF3D0-2CD4-4842-973E-26EC2558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Gifford</dc:creator>
  <cp:lastModifiedBy>Chris Gifford</cp:lastModifiedBy>
  <cp:revision>3</cp:revision>
  <dcterms:created xsi:type="dcterms:W3CDTF">2023-01-08T22:10:00Z</dcterms:created>
  <dcterms:modified xsi:type="dcterms:W3CDTF">2023-01-08T23:26:00Z</dcterms:modified>
</cp:coreProperties>
</file>